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32"/>
              </w:rPr>
              <w:t xml:space="preserve">Постановление Правительства РФ от 24.03.2025 N 345</w:t>
              <w:br/>
              <w:t xml:space="preserve">(ред. от 16.07.2025)</w:t>
              <w:br/>
              <w:t xml:space="preserve">"О предоставлении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w:t>
              <w:br/>
              <w:t xml:space="preserve">(вместе с "Правилами предоставления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 "Методикой распределения субвенций, предоставляемых из федерального бюджета бюджетам субъектов Российской Федерации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РОССИЙСКОЙ ФЕДЕРАЦИИ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24 марта 2025 г. N 345</w:t>
      </w:r>
    </w:p>
    <w:p>
      <w:pPr>
        <w:pStyle w:val="2"/>
        <w:jc w:val="center"/>
      </w:pPr>
      <w:r>
        <w:rPr>
          <w:sz w:val="24"/>
        </w:rPr>
      </w:r>
    </w:p>
    <w:p>
      <w:pPr>
        <w:pStyle w:val="2"/>
        <w:jc w:val="center"/>
      </w:pPr>
      <w:r>
        <w:rPr>
          <w:sz w:val="24"/>
        </w:rPr>
        <w:t xml:space="preserve">О ПРЕДОСТАВЛЕНИИ</w:t>
      </w:r>
    </w:p>
    <w:p>
      <w:pPr>
        <w:pStyle w:val="2"/>
        <w:jc w:val="center"/>
      </w:pPr>
      <w:r>
        <w:rPr>
          <w:sz w:val="24"/>
        </w:rPr>
        <w:t xml:space="preserve">ИЗ ФЕДЕРАЛЬНОГО БЮДЖЕТА БЮДЖЕТАМ СУБЪЕКТОВ РОССИЙСКОЙ</w:t>
      </w:r>
    </w:p>
    <w:p>
      <w:pPr>
        <w:pStyle w:val="2"/>
        <w:jc w:val="center"/>
      </w:pPr>
      <w:r>
        <w:rPr>
          <w:sz w:val="24"/>
        </w:rPr>
        <w:t xml:space="preserve">ФЕДЕРАЦИИ СУБВЕНЦИЙ НА ОСУЩЕСТВЛЕНИЕ ПЕРЕДАННОГО ОРГАНАМ</w:t>
      </w:r>
    </w:p>
    <w:p>
      <w:pPr>
        <w:pStyle w:val="2"/>
        <w:jc w:val="center"/>
      </w:pPr>
      <w:r>
        <w:rPr>
          <w:sz w:val="24"/>
        </w:rPr>
        <w:t xml:space="preserve">ГОСУДАРСТВЕННОЙ ВЛАСТИ СУБЪЕКТОВ РОССИЙСКОЙ ФЕДЕРАЦИИ</w:t>
      </w:r>
    </w:p>
    <w:p>
      <w:pPr>
        <w:pStyle w:val="2"/>
        <w:jc w:val="center"/>
      </w:pPr>
      <w:r>
        <w:rPr>
          <w:sz w:val="24"/>
        </w:rPr>
        <w:t xml:space="preserve">ПОЛНОМОЧИЯ РОССИЙСКОЙ ФЕДЕРАЦИИ ПО ОСУЩЕСТВЛЕНИЮ ЕЖЕГОДНОЙ</w:t>
      </w:r>
    </w:p>
    <w:p>
      <w:pPr>
        <w:pStyle w:val="2"/>
        <w:jc w:val="center"/>
      </w:pPr>
      <w:r>
        <w:rPr>
          <w:sz w:val="24"/>
        </w:rPr>
        <w:t xml:space="preserve">ДЕНЕЖНОЙ ВЫПЛАТЫ ЛИЦАМ, НАГРАЖДЕННЫМ НАГРУДНЫМ ЗНАКОМ</w:t>
      </w:r>
    </w:p>
    <w:p>
      <w:pPr>
        <w:pStyle w:val="2"/>
        <w:jc w:val="center"/>
      </w:pPr>
      <w:r>
        <w:rPr>
          <w:sz w:val="24"/>
        </w:rPr>
        <w:t xml:space="preserve">"ПОЧЕТНЫЙ ДОНОР РОССИИ"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hyperlink w:history="0" r:id="rId8" w:tooltip="Постановление Правительства РФ от 16.07.2025 N 1069 &quot;О внесении изменений в постановление Правительства Российской Федерации от 24 марта 2025 г. N 345&quot; {КонсультантПлюс}">
              <w:r>
                <w:rPr>
                  <w:sz w:val="24"/>
                  <w:color w:val="0000ff"/>
                </w:rPr>
                <w:t xml:space="preserve">Постановления</w:t>
              </w:r>
            </w:hyperlink>
            <w:r>
              <w:rPr>
                <w:sz w:val="24"/>
                <w:color w:val="392c69"/>
              </w:rPr>
              <w:t xml:space="preserve"> Правительства РФ от 16.07.2025 N 1069)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Правительство Российской Федерации постановляет:</w:t>
      </w:r>
    </w:p>
    <w:p>
      <w:pPr>
        <w:pStyle w:val="0"/>
        <w:spacing w:before="240" w:lineRule="auto"/>
        <w:ind w:firstLine="540"/>
        <w:jc w:val="both"/>
      </w:pPr>
      <w:r>
        <w:rPr>
          <w:sz w:val="24"/>
        </w:rPr>
        <w:t xml:space="preserve">1. Утвердить прилагаемые:</w:t>
      </w:r>
    </w:p>
    <w:p>
      <w:pPr>
        <w:pStyle w:val="0"/>
        <w:spacing w:before="240" w:lineRule="auto"/>
        <w:ind w:firstLine="540"/>
        <w:jc w:val="both"/>
      </w:pPr>
      <w:hyperlink w:history="0" w:anchor="P38" w:tooltip="ПРАВИЛА">
        <w:r>
          <w:rPr>
            <w:sz w:val="24"/>
            <w:color w:val="0000ff"/>
          </w:rPr>
          <w:t xml:space="preserve">Правила</w:t>
        </w:r>
      </w:hyperlink>
      <w:r>
        <w:rPr>
          <w:sz w:val="24"/>
        </w:rPr>
        <w:t xml:space="preserve"> предоставления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w:t>
      </w:r>
    </w:p>
    <w:p>
      <w:pPr>
        <w:pStyle w:val="0"/>
        <w:spacing w:before="240" w:lineRule="auto"/>
        <w:ind w:firstLine="540"/>
        <w:jc w:val="both"/>
      </w:pPr>
      <w:hyperlink w:history="0" w:anchor="P67" w:tooltip="МЕТОДИКА">
        <w:r>
          <w:rPr>
            <w:sz w:val="24"/>
            <w:color w:val="0000ff"/>
          </w:rPr>
          <w:t xml:space="preserve">методику</w:t>
        </w:r>
      </w:hyperlink>
      <w:r>
        <w:rPr>
          <w:sz w:val="24"/>
        </w:rPr>
        <w:t xml:space="preserve"> распределения субвенций, предоставляемых из федерального бюджета бюджетам субъектов Российской Федерации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w:t>
      </w:r>
    </w:p>
    <w:p>
      <w:pPr>
        <w:pStyle w:val="0"/>
        <w:spacing w:before="240" w:lineRule="auto"/>
        <w:ind w:firstLine="540"/>
        <w:jc w:val="both"/>
      </w:pPr>
      <w:r>
        <w:rPr>
          <w:sz w:val="24"/>
        </w:rPr>
        <w:t xml:space="preserve">2. Признать утратившими силу:</w:t>
      </w:r>
    </w:p>
    <w:p>
      <w:pPr>
        <w:pStyle w:val="0"/>
        <w:spacing w:before="240" w:lineRule="auto"/>
        <w:ind w:firstLine="540"/>
        <w:jc w:val="both"/>
      </w:pPr>
      <w:hyperlink w:history="0" r:id="rId9" w:tooltip="Постановление Правительства РФ от 09.03.2013 N 197 (ред. от 25.05.2016) &quot;О предоставлении субвенций из федерального бюджета бюджетам субъектов Российской Федерации на осуществление переданного полномочия Российской Федерации по осуществлению ежегодной денежной выплаты лицам, награжденным нагрудным знаком &quot;Почетный донор России&quot; (вместе с &quot;Правилами предоставления из федерального бюджета бюджетам субъектов Российской Федерации субвенций на осуществление переданного полномочия Российской Федерации по осуществ ------------ Утратил силу или отменен {КонсультантПлюс}">
        <w:r>
          <w:rPr>
            <w:sz w:val="24"/>
            <w:color w:val="0000ff"/>
          </w:rPr>
          <w:t xml:space="preserve">постановление</w:t>
        </w:r>
      </w:hyperlink>
      <w:r>
        <w:rPr>
          <w:sz w:val="24"/>
        </w:rPr>
        <w:t xml:space="preserve"> Правительства Российской Федерации от 9 марта 2013 г. N 197 "О предоставлении субвенций из федерального бюджета бюджетам субъектов Российской Федерации на осуществление переданного полномочия Российской Федерации по осуществлению ежегодной денежной выплаты лицам, награжденным нагрудным знаком "Почетный донор России" (Собрание законодательства Российской Федерации, 2013, N 11, ст. 1124);</w:t>
      </w:r>
    </w:p>
    <w:p>
      <w:pPr>
        <w:pStyle w:val="0"/>
        <w:spacing w:before="240" w:lineRule="auto"/>
        <w:ind w:firstLine="540"/>
        <w:jc w:val="both"/>
      </w:pPr>
      <w:hyperlink w:history="0" r:id="rId10" w:tooltip="Постановление Правительства РФ от 25.05.2016 N 464 (ред. от 04.03.2025) &quot;О внесении изменений в некоторые акты Правительства Российской Федерации в связи с упразднением Федеральной службы финансово-бюджетного надзора&quot; ------------ Недействующая редакция {КонсультантПлюс}">
        <w:r>
          <w:rPr>
            <w:sz w:val="24"/>
            <w:color w:val="0000ff"/>
          </w:rPr>
          <w:t xml:space="preserve">пункт 163</w:t>
        </w:r>
      </w:hyperlink>
      <w:r>
        <w:rPr>
          <w:sz w:val="24"/>
        </w:rPr>
        <w:t xml:space="preserve"> изменений, которые вносятся в акты Правительства Российской Федерации в связи с упразднением Федеральной службы финансово-бюджетного надзора, утвержденных постановлением Правительства Российской Федерации от 25 мая 2016 г. N 464 "О внесении изменений в некоторые акты Правительства Российской Федерации в связи с упразднением Федеральной службы финансово-бюджетного надзора" (Собрание законодательства Российской Федерации, 2016, N 24, ст. 3525).</w:t>
      </w:r>
    </w:p>
    <w:p>
      <w:pPr>
        <w:pStyle w:val="0"/>
        <w:spacing w:before="240" w:lineRule="auto"/>
        <w:ind w:firstLine="540"/>
        <w:jc w:val="both"/>
      </w:pPr>
      <w:r>
        <w:rPr>
          <w:sz w:val="24"/>
        </w:rPr>
        <w:t xml:space="preserve">3. Настоящее постановление вступает в силу со дня его официального опубликования.</w:t>
      </w:r>
    </w:p>
    <w:p>
      <w:pPr>
        <w:pStyle w:val="0"/>
        <w:jc w:val="center"/>
      </w:pPr>
      <w:r>
        <w:rPr>
          <w:sz w:val="24"/>
        </w:rPr>
      </w:r>
    </w:p>
    <w:p>
      <w:pPr>
        <w:pStyle w:val="0"/>
        <w:jc w:val="right"/>
      </w:pPr>
      <w:r>
        <w:rPr>
          <w:sz w:val="24"/>
        </w:rPr>
        <w:t xml:space="preserve">Председатель Правительства</w:t>
      </w:r>
    </w:p>
    <w:p>
      <w:pPr>
        <w:pStyle w:val="0"/>
        <w:jc w:val="right"/>
      </w:pPr>
      <w:r>
        <w:rPr>
          <w:sz w:val="24"/>
        </w:rPr>
        <w:t xml:space="preserve">Российской Федерации</w:t>
      </w:r>
    </w:p>
    <w:p>
      <w:pPr>
        <w:pStyle w:val="0"/>
        <w:jc w:val="right"/>
      </w:pPr>
      <w:r>
        <w:rPr>
          <w:sz w:val="24"/>
        </w:rPr>
        <w:t xml:space="preserve">М.МИШУСТИН</w:t>
      </w:r>
    </w:p>
    <w:p>
      <w:pPr>
        <w:pStyle w:val="0"/>
        <w:jc w:val="center"/>
      </w:pPr>
      <w:r>
        <w:rPr>
          <w:sz w:val="24"/>
        </w:rPr>
      </w:r>
    </w:p>
    <w:p>
      <w:pPr>
        <w:pStyle w:val="0"/>
        <w:jc w:val="center"/>
      </w:pPr>
      <w:r>
        <w:rPr>
          <w:sz w:val="24"/>
        </w:rPr>
      </w:r>
    </w:p>
    <w:p>
      <w:pPr>
        <w:pStyle w:val="0"/>
        <w:jc w:val="center"/>
      </w:pPr>
      <w:r>
        <w:rPr>
          <w:sz w:val="24"/>
        </w:rPr>
      </w:r>
    </w:p>
    <w:p>
      <w:pPr>
        <w:pStyle w:val="0"/>
        <w:jc w:val="center"/>
      </w:pPr>
      <w:r>
        <w:rPr>
          <w:sz w:val="24"/>
        </w:rPr>
      </w:r>
    </w:p>
    <w:p>
      <w:pPr>
        <w:pStyle w:val="0"/>
        <w:jc w:val="center"/>
      </w:pPr>
      <w:r>
        <w:rPr>
          <w:sz w:val="24"/>
        </w:rPr>
      </w:r>
    </w:p>
    <w:p>
      <w:pPr>
        <w:pStyle w:val="0"/>
        <w:outlineLvl w:val="0"/>
        <w:jc w:val="right"/>
      </w:pPr>
      <w:r>
        <w:rPr>
          <w:sz w:val="24"/>
        </w:rPr>
        <w:t xml:space="preserve">Утверждены</w:t>
      </w:r>
    </w:p>
    <w:p>
      <w:pPr>
        <w:pStyle w:val="0"/>
        <w:jc w:val="right"/>
      </w:pPr>
      <w:r>
        <w:rPr>
          <w:sz w:val="24"/>
        </w:rPr>
        <w:t xml:space="preserve">постановлением Правительства</w:t>
      </w:r>
    </w:p>
    <w:p>
      <w:pPr>
        <w:pStyle w:val="0"/>
        <w:jc w:val="right"/>
      </w:pPr>
      <w:r>
        <w:rPr>
          <w:sz w:val="24"/>
        </w:rPr>
        <w:t xml:space="preserve">Российской Федерации</w:t>
      </w:r>
    </w:p>
    <w:p>
      <w:pPr>
        <w:pStyle w:val="0"/>
        <w:jc w:val="right"/>
      </w:pPr>
      <w:r>
        <w:rPr>
          <w:sz w:val="24"/>
        </w:rPr>
        <w:t xml:space="preserve">от 24 марта 2025 г. N 345</w:t>
      </w:r>
    </w:p>
    <w:p>
      <w:pPr>
        <w:pStyle w:val="0"/>
        <w:jc w:val="center"/>
      </w:pPr>
      <w:r>
        <w:rPr>
          <w:sz w:val="24"/>
        </w:rPr>
      </w:r>
    </w:p>
    <w:bookmarkStart w:id="38" w:name="P38"/>
    <w:bookmarkEnd w:id="38"/>
    <w:p>
      <w:pPr>
        <w:pStyle w:val="2"/>
        <w:jc w:val="center"/>
      </w:pPr>
      <w:r>
        <w:rPr>
          <w:sz w:val="24"/>
        </w:rPr>
        <w:t xml:space="preserve">ПРАВИЛА</w:t>
      </w:r>
    </w:p>
    <w:p>
      <w:pPr>
        <w:pStyle w:val="2"/>
        <w:jc w:val="center"/>
      </w:pPr>
      <w:r>
        <w:rPr>
          <w:sz w:val="24"/>
        </w:rPr>
        <w:t xml:space="preserve">ПРЕДОСТАВЛЕНИЯ ИЗ ФЕДЕРАЛЬНОГО БЮДЖЕТА БЮДЖЕТАМ СУБЪЕКТОВ</w:t>
      </w:r>
    </w:p>
    <w:p>
      <w:pPr>
        <w:pStyle w:val="2"/>
        <w:jc w:val="center"/>
      </w:pPr>
      <w:r>
        <w:rPr>
          <w:sz w:val="24"/>
        </w:rPr>
        <w:t xml:space="preserve">РОССИЙСКОЙ ФЕДЕРАЦИИ СУБВЕНЦИЙ НА ОСУЩЕСТВЛЕНИЕ ПЕРЕДАННОГО</w:t>
      </w:r>
    </w:p>
    <w:p>
      <w:pPr>
        <w:pStyle w:val="2"/>
        <w:jc w:val="center"/>
      </w:pPr>
      <w:r>
        <w:rPr>
          <w:sz w:val="24"/>
        </w:rPr>
        <w:t xml:space="preserve">ОРГАНАМ ГОСУДАРСТВЕННОЙ ВЛАСТИ СУБЪЕКТОВ РОССИЙСКОЙ</w:t>
      </w:r>
    </w:p>
    <w:p>
      <w:pPr>
        <w:pStyle w:val="2"/>
        <w:jc w:val="center"/>
      </w:pPr>
      <w:r>
        <w:rPr>
          <w:sz w:val="24"/>
        </w:rPr>
        <w:t xml:space="preserve">ФЕДЕРАЦИИ ПОЛНОМОЧИЯ РОССИЙСКОЙ ФЕДЕРАЦИИ ПО ОСУЩЕСТВЛЕНИЮ</w:t>
      </w:r>
    </w:p>
    <w:p>
      <w:pPr>
        <w:pStyle w:val="2"/>
        <w:jc w:val="center"/>
      </w:pPr>
      <w:r>
        <w:rPr>
          <w:sz w:val="24"/>
        </w:rPr>
        <w:t xml:space="preserve">ЕЖЕГОДНОЙ ДЕНЕЖНОЙ ВЫПЛАТЫ ЛИЦАМ, НАГРАЖДЕННЫМ НАГРУДНЫМ</w:t>
      </w:r>
    </w:p>
    <w:p>
      <w:pPr>
        <w:pStyle w:val="2"/>
        <w:jc w:val="center"/>
      </w:pPr>
      <w:r>
        <w:rPr>
          <w:sz w:val="24"/>
        </w:rPr>
        <w:t xml:space="preserve">ЗНАКОМ "ПОЧЕТНЫЙ ДОНОР РОССИИ"</w:t>
      </w:r>
    </w:p>
    <w:p>
      <w:pPr>
        <w:pStyle w:val="0"/>
        <w:jc w:val="center"/>
      </w:pPr>
      <w:r>
        <w:rPr>
          <w:sz w:val="24"/>
        </w:rPr>
      </w:r>
    </w:p>
    <w:bookmarkStart w:id="46" w:name="P46"/>
    <w:bookmarkEnd w:id="46"/>
    <w:p>
      <w:pPr>
        <w:pStyle w:val="0"/>
        <w:ind w:firstLine="540"/>
        <w:jc w:val="both"/>
      </w:pPr>
      <w:r>
        <w:rPr>
          <w:sz w:val="24"/>
        </w:rPr>
        <w:t xml:space="preserve">1. Настоящие Правила определяют порядок предоставления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w:t>
      </w:r>
      <w:hyperlink w:history="0" r:id="rId11" w:tooltip="Постановление Правительства РФ от 14.03.2023 N 388 &quot;Об утверждении Положения о нагрудном знаке &quot;Почетный донор России&quot; и описания нагрудного знака &quot;Почетный донор России&quot; и признании утратившими силу некоторых актов Правительства Российской Федерации и отдельного положения акта Правительства Российской Федерации&quot; {КонсультантПлюс}">
        <w:r>
          <w:rPr>
            <w:sz w:val="24"/>
            <w:color w:val="0000ff"/>
          </w:rPr>
          <w:t xml:space="preserve">знаком</w:t>
        </w:r>
      </w:hyperlink>
      <w:r>
        <w:rPr>
          <w:sz w:val="24"/>
        </w:rPr>
        <w:t xml:space="preserve"> "Почетный донор России" ("Почетный донор СССР") (далее соответственно - ежегодная денежная выплата, субвенции).</w:t>
      </w:r>
    </w:p>
    <w:p>
      <w:pPr>
        <w:pStyle w:val="0"/>
        <w:spacing w:before="240" w:lineRule="auto"/>
        <w:ind w:firstLine="540"/>
        <w:jc w:val="both"/>
      </w:pPr>
      <w:r>
        <w:rPr>
          <w:sz w:val="24"/>
        </w:rPr>
        <w:t xml:space="preserve">2. Субвенции предоставляются в рамках комплекса процессных мероприятий "Предоставление мер социальной поддержки отдельным категориям граждан" государственной </w:t>
      </w:r>
      <w:hyperlink w:history="0" r:id="rId12" w:tooltip="Постановление Правительства РФ от 15.04.2014 N 296 (ред. от 29.12.2025) &quot;Об утверждении государственной программы Российской Федерации &quot;Социальная поддержка граждан&quot; {КонсультантПлюс}">
        <w:r>
          <w:rPr>
            <w:sz w:val="24"/>
            <w:color w:val="0000ff"/>
          </w:rPr>
          <w:t xml:space="preserve">программы</w:t>
        </w:r>
      </w:hyperlink>
      <w:r>
        <w:rPr>
          <w:sz w:val="24"/>
        </w:rPr>
        <w:t xml:space="preserve"> Российской Федерации "Социальная поддержка граждан", утвержденной постановлением Правительства Российской Федерации от 15 апреля 2014 г. N 296 "Об утверждении государственной программы Российской Федерации "Социальная поддержка граждан", в пределах лимитов бюджетных обязательств, доведенных в установленном порядке до Федерального медико-биологического агентства как получателя средств федерального бюджета на предоставление субвенций на цели, предусмотренные </w:t>
      </w:r>
      <w:hyperlink w:history="0" w:anchor="P46" w:tooltip="1. Настоящие Правила определяют порядок предоставления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quot;Почетный донор России&quot; (&quot;Почетный донор СССР&quot;) (далее соответственно - ежегодная денежная выплата, субвенции).">
        <w:r>
          <w:rPr>
            <w:sz w:val="24"/>
            <w:color w:val="0000ff"/>
          </w:rPr>
          <w:t xml:space="preserve">пунктом 1</w:t>
        </w:r>
      </w:hyperlink>
      <w:r>
        <w:rPr>
          <w:sz w:val="24"/>
        </w:rPr>
        <w:t xml:space="preserve"> настоящих Правил.</w:t>
      </w:r>
    </w:p>
    <w:p>
      <w:pPr>
        <w:pStyle w:val="0"/>
        <w:spacing w:before="240" w:lineRule="auto"/>
        <w:ind w:firstLine="540"/>
        <w:jc w:val="both"/>
      </w:pPr>
      <w:r>
        <w:rPr>
          <w:sz w:val="24"/>
        </w:rPr>
        <w:t xml:space="preserve">3. Размер субвенций определяется в соответствии с </w:t>
      </w:r>
      <w:hyperlink w:history="0" w:anchor="P67" w:tooltip="МЕТОДИКА">
        <w:r>
          <w:rPr>
            <w:sz w:val="24"/>
            <w:color w:val="0000ff"/>
          </w:rPr>
          <w:t xml:space="preserve">методикой</w:t>
        </w:r>
      </w:hyperlink>
      <w:r>
        <w:rPr>
          <w:sz w:val="24"/>
        </w:rPr>
        <w:t xml:space="preserve"> распределения субвенций, предоставляемых из федерального бюджета бюджетам субъектов Российской Федерации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 утвержденной постановлением Правительства Российской Федерации от 24 марта 2025 г. N 345 "О предоставлении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 на основании данных, представленных субъектами Российской Федерации по форме и в сроки, которые устанавливаются Федеральным медико-биологическим агентством.</w:t>
      </w:r>
    </w:p>
    <w:bookmarkStart w:id="49" w:name="P49"/>
    <w:bookmarkEnd w:id="49"/>
    <w:p>
      <w:pPr>
        <w:pStyle w:val="0"/>
        <w:spacing w:before="240" w:lineRule="auto"/>
        <w:ind w:firstLine="540"/>
        <w:jc w:val="both"/>
      </w:pPr>
      <w:r>
        <w:rPr>
          <w:sz w:val="24"/>
        </w:rPr>
        <w:t xml:space="preserve">При расчете объема средств на финансовое обеспечение субвенций формируется нераспределенный резерв в размере до 5 процентов общего размера субвенций, который может быть распределен между субъектами Российской Федерации на основании решения, принимаемого Федеральным медико-биологическим агентством, на погашение задолженности, образовавшейся у субъектов Российской Федерации в связи с осуществлением ежегодной денежной выплаты с учетом увеличения в текущем финансовом году количества лиц, награжденных нагрудным знаком "Почетный донор России" ("Почетный донор СССР").</w:t>
      </w:r>
    </w:p>
    <w:p>
      <w:pPr>
        <w:pStyle w:val="0"/>
        <w:spacing w:before="240" w:lineRule="auto"/>
        <w:ind w:firstLine="540"/>
        <w:jc w:val="both"/>
      </w:pPr>
      <w:r>
        <w:rPr>
          <w:sz w:val="24"/>
        </w:rPr>
        <w:t xml:space="preserve">4. Перечисление субвенций из федерального бюджета бюджетам субъектов Российской Федерации осуществляется на единые счета бюджетов, открытые финансовым органам субъектов Российской Федерации в территориальных органах Федерального казначейства.</w:t>
      </w:r>
    </w:p>
    <w:bookmarkStart w:id="51" w:name="P51"/>
    <w:bookmarkEnd w:id="51"/>
    <w:p>
      <w:pPr>
        <w:pStyle w:val="0"/>
        <w:spacing w:before="240" w:lineRule="auto"/>
        <w:ind w:firstLine="540"/>
        <w:jc w:val="both"/>
      </w:pPr>
      <w:r>
        <w:rPr>
          <w:sz w:val="24"/>
        </w:rPr>
        <w:t xml:space="preserve">5. Органы государственной власти субъектов Российской Федерации, осуществляющие переданное полномочие Российской Федерации по осуществлению ежегодной денежной выплаты, направляют в Федеральное медико-биологическое агентство отчеты о расходах бюджетов субъектов Российской Федерации, источником финансового обеспечения которых являются субвенции, по </w:t>
      </w:r>
      <w:hyperlink w:history="0" r:id="rId13" w:tooltip="Приказ ФМБА России от 23.05.2025 N 122 &quot;Об утверждении формы Отчета о расходах бюджета субъекта Российской Федерации, источником финансового обеспечения которых является субвенция на осуществление переданного полномочия Российской Федерации по осуществлению ежегодной денежной выплаты лицам, награжденным нагрудным знаком &quot;Почетный донор России&quot; (&quot;Почетный донор СССР&quot;), и сроков его представления&quot; (Зарегистрировано в Минюсте России 27.10.2025 N 83965) {КонсультантПлюс}">
        <w:r>
          <w:rPr>
            <w:sz w:val="24"/>
            <w:color w:val="0000ff"/>
          </w:rPr>
          <w:t xml:space="preserve">форме</w:t>
        </w:r>
      </w:hyperlink>
      <w:r>
        <w:rPr>
          <w:sz w:val="24"/>
        </w:rPr>
        <w:t xml:space="preserve"> и в </w:t>
      </w:r>
      <w:hyperlink w:history="0" r:id="rId14" w:tooltip="Приказ ФМБА России от 23.05.2025 N 122 &quot;Об утверждении формы Отчета о расходах бюджета субъекта Российской Федерации, источником финансового обеспечения которых является субвенция на осуществление переданного полномочия Российской Федерации по осуществлению ежегодной денежной выплаты лицам, награжденным нагрудным знаком &quot;Почетный донор России&quot; (&quot;Почетный донор СССР&quot;), и сроков его представления&quot; (Зарегистрировано в Минюсте России 27.10.2025 N 83965) {КонсультантПлюс}">
        <w:r>
          <w:rPr>
            <w:sz w:val="24"/>
            <w:color w:val="0000ff"/>
          </w:rPr>
          <w:t xml:space="preserve">сроки</w:t>
        </w:r>
      </w:hyperlink>
      <w:r>
        <w:rPr>
          <w:sz w:val="24"/>
        </w:rPr>
        <w:t xml:space="preserve">, которые устанавливаются Федеральным медико-биологическим агентством.</w:t>
      </w:r>
    </w:p>
    <w:p>
      <w:pPr>
        <w:pStyle w:val="0"/>
        <w:spacing w:before="240" w:lineRule="auto"/>
        <w:ind w:firstLine="540"/>
        <w:jc w:val="both"/>
      </w:pPr>
      <w:r>
        <w:rPr>
          <w:sz w:val="24"/>
        </w:rPr>
        <w:t xml:space="preserve">6. Органы государственной власти субъектов Российской Федерации, осуществляющие переданное полномочие Российской Федерации по осуществлению ежегодной денежной выплаты, несут ответственность за осуществление расходов бюджетов субъектов Российской Федерации, источником финансового обеспечения которых являются субвенции, и достоверность отчетности, представляемой в соответствии с </w:t>
      </w:r>
      <w:hyperlink w:history="0" w:anchor="P51" w:tooltip="5. Органы государственной власти субъектов Российской Федерации, осуществляющие переданное полномочие Российской Федерации по осуществлению ежегодной денежной выплаты, направляют в Федеральное медико-биологическое агентство отчеты о расходах бюджетов субъектов Российской Федерации, источником финансового обеспечения которых являются субвенции, по форме и в сроки, которые устанавливаются Федеральным медико-биологическим агентством.">
        <w:r>
          <w:rPr>
            <w:sz w:val="24"/>
            <w:color w:val="0000ff"/>
          </w:rPr>
          <w:t xml:space="preserve">пунктом 5</w:t>
        </w:r>
      </w:hyperlink>
      <w:r>
        <w:rPr>
          <w:sz w:val="24"/>
        </w:rPr>
        <w:t xml:space="preserve"> настоящих Правил.</w:t>
      </w:r>
    </w:p>
    <w:p>
      <w:pPr>
        <w:pStyle w:val="0"/>
        <w:spacing w:before="240" w:lineRule="auto"/>
        <w:ind w:firstLine="540"/>
        <w:jc w:val="both"/>
      </w:pPr>
      <w:r>
        <w:rPr>
          <w:sz w:val="24"/>
        </w:rPr>
        <w:t xml:space="preserve">7. Не использованные по состоянию на 1 января текущего финансового года остатки субвенций подлежат возврату в доход федерального бюджета органами государственной власти субъектов Российской Федерации, за которыми в соответствии с законодательными и иными нормативными правовыми актами закреплены источники доходов бюджетов субъектов Российской Федерации по возврату остатков субвенций, в соответствии с требованиями, установленными бюджетным законодательством Российской Федерации.</w:t>
      </w:r>
    </w:p>
    <w:p>
      <w:pPr>
        <w:pStyle w:val="0"/>
        <w:spacing w:before="240" w:lineRule="auto"/>
        <w:ind w:firstLine="540"/>
        <w:jc w:val="both"/>
      </w:pPr>
      <w:r>
        <w:rPr>
          <w:sz w:val="24"/>
        </w:rPr>
        <w:t xml:space="preserve">8. В случае если неиспользованный остаток субвенций не перечислен в доход федерального бюджета, указанные средства подлежат взысканию в доход федерального бюджета в порядке, установленном Министерством финансов Российской Федерации.</w:t>
      </w:r>
    </w:p>
    <w:p>
      <w:pPr>
        <w:pStyle w:val="0"/>
        <w:spacing w:before="240" w:lineRule="auto"/>
        <w:ind w:firstLine="540"/>
        <w:jc w:val="both"/>
      </w:pPr>
      <w:r>
        <w:rPr>
          <w:sz w:val="24"/>
        </w:rPr>
        <w:t xml:space="preserve">9. В случае осуществления расходов бюджета субъекта Российской Федерации, источником финансового обеспечения которых является субвенция, не по целевому назначению соответствующие средства взыскиваются в доход федерального бюджета в порядке, установленном законодательством Российской Федерации.</w:t>
      </w:r>
    </w:p>
    <w:p>
      <w:pPr>
        <w:pStyle w:val="0"/>
        <w:spacing w:before="240" w:lineRule="auto"/>
        <w:ind w:firstLine="540"/>
        <w:jc w:val="both"/>
      </w:pPr>
      <w:r>
        <w:rPr>
          <w:sz w:val="24"/>
        </w:rPr>
        <w:t xml:space="preserve">10. Контроль за осуществлением расходов бюджетов субъектов Российской Федерации, источником финансового обеспечения которых являются субвенции, осуществляется Федеральным медико-биологическим агентством, Федеральной службой по надзору в сфере здравоохранения и уполномоченными органами государственного финансового контроля.</w:t>
      </w:r>
    </w:p>
    <w:p>
      <w:pPr>
        <w:pStyle w:val="0"/>
        <w:jc w:val="center"/>
      </w:pPr>
      <w:r>
        <w:rPr>
          <w:sz w:val="24"/>
        </w:rPr>
      </w:r>
    </w:p>
    <w:p>
      <w:pPr>
        <w:pStyle w:val="0"/>
        <w:jc w:val="center"/>
      </w:pPr>
      <w:r>
        <w:rPr>
          <w:sz w:val="24"/>
        </w:rPr>
      </w:r>
    </w:p>
    <w:p>
      <w:pPr>
        <w:pStyle w:val="0"/>
        <w:jc w:val="center"/>
      </w:pPr>
      <w:r>
        <w:rPr>
          <w:sz w:val="24"/>
        </w:rPr>
      </w:r>
    </w:p>
    <w:p>
      <w:pPr>
        <w:pStyle w:val="0"/>
        <w:jc w:val="center"/>
      </w:pPr>
      <w:r>
        <w:rPr>
          <w:sz w:val="24"/>
        </w:rPr>
      </w:r>
    </w:p>
    <w:p>
      <w:pPr>
        <w:pStyle w:val="0"/>
        <w:jc w:val="center"/>
      </w:pPr>
      <w:r>
        <w:rPr>
          <w:sz w:val="24"/>
        </w:rPr>
      </w:r>
    </w:p>
    <w:p>
      <w:pPr>
        <w:pStyle w:val="0"/>
        <w:outlineLvl w:val="0"/>
        <w:jc w:val="right"/>
      </w:pPr>
      <w:r>
        <w:rPr>
          <w:sz w:val="24"/>
        </w:rPr>
        <w:t xml:space="preserve">Утверждена</w:t>
      </w:r>
    </w:p>
    <w:p>
      <w:pPr>
        <w:pStyle w:val="0"/>
        <w:jc w:val="right"/>
      </w:pPr>
      <w:r>
        <w:rPr>
          <w:sz w:val="24"/>
        </w:rPr>
        <w:t xml:space="preserve">постановлением Правительства</w:t>
      </w:r>
    </w:p>
    <w:p>
      <w:pPr>
        <w:pStyle w:val="0"/>
        <w:jc w:val="right"/>
      </w:pPr>
      <w:r>
        <w:rPr>
          <w:sz w:val="24"/>
        </w:rPr>
        <w:t xml:space="preserve">Российской Федерации</w:t>
      </w:r>
    </w:p>
    <w:p>
      <w:pPr>
        <w:pStyle w:val="0"/>
        <w:jc w:val="right"/>
      </w:pPr>
      <w:r>
        <w:rPr>
          <w:sz w:val="24"/>
        </w:rPr>
        <w:t xml:space="preserve">от 24 марта 2025 г. N 345</w:t>
      </w:r>
    </w:p>
    <w:p>
      <w:pPr>
        <w:pStyle w:val="0"/>
        <w:jc w:val="center"/>
      </w:pPr>
      <w:r>
        <w:rPr>
          <w:sz w:val="24"/>
        </w:rPr>
      </w:r>
    </w:p>
    <w:bookmarkStart w:id="67" w:name="P67"/>
    <w:bookmarkEnd w:id="67"/>
    <w:p>
      <w:pPr>
        <w:pStyle w:val="2"/>
        <w:jc w:val="center"/>
      </w:pPr>
      <w:r>
        <w:rPr>
          <w:sz w:val="24"/>
        </w:rPr>
        <w:t xml:space="preserve">МЕТОДИКА</w:t>
      </w:r>
    </w:p>
    <w:p>
      <w:pPr>
        <w:pStyle w:val="2"/>
        <w:jc w:val="center"/>
      </w:pPr>
      <w:r>
        <w:rPr>
          <w:sz w:val="24"/>
        </w:rPr>
        <w:t xml:space="preserve">РАСПРЕДЕЛЕНИЯ СУБВЕНЦИЙ, ПРЕДОСТАВЛЯЕМЫХ ИЗ ФЕДЕРАЛЬНОГО</w:t>
      </w:r>
    </w:p>
    <w:p>
      <w:pPr>
        <w:pStyle w:val="2"/>
        <w:jc w:val="center"/>
      </w:pPr>
      <w:r>
        <w:rPr>
          <w:sz w:val="24"/>
        </w:rPr>
        <w:t xml:space="preserve">БЮДЖЕТА БЮДЖЕТАМ СУБЪЕКТОВ РОССИЙСКОЙ ФЕДЕРАЦИИ</w:t>
      </w:r>
    </w:p>
    <w:p>
      <w:pPr>
        <w:pStyle w:val="2"/>
        <w:jc w:val="center"/>
      </w:pPr>
      <w:r>
        <w:rPr>
          <w:sz w:val="24"/>
        </w:rPr>
        <w:t xml:space="preserve">НА ОСУЩЕСТВЛЕНИЕ ПЕРЕДАННОГО ОРГАНАМ ГОСУДАРСТВЕННОЙ</w:t>
      </w:r>
    </w:p>
    <w:p>
      <w:pPr>
        <w:pStyle w:val="2"/>
        <w:jc w:val="center"/>
      </w:pPr>
      <w:r>
        <w:rPr>
          <w:sz w:val="24"/>
        </w:rPr>
        <w:t xml:space="preserve">ВЛАСТИ СУБЪЕКТОВ РОССИЙСКОЙ ФЕДЕРАЦИИ ПОЛНОМОЧИЯ</w:t>
      </w:r>
    </w:p>
    <w:p>
      <w:pPr>
        <w:pStyle w:val="2"/>
        <w:jc w:val="center"/>
      </w:pPr>
      <w:r>
        <w:rPr>
          <w:sz w:val="24"/>
        </w:rPr>
        <w:t xml:space="preserve">РОССИЙСКОЙ ФЕДЕРАЦИИ ПО ОСУЩЕСТВЛЕНИЮ ЕЖЕГОДНОЙ</w:t>
      </w:r>
    </w:p>
    <w:p>
      <w:pPr>
        <w:pStyle w:val="2"/>
        <w:jc w:val="center"/>
      </w:pPr>
      <w:r>
        <w:rPr>
          <w:sz w:val="24"/>
        </w:rPr>
        <w:t xml:space="preserve">ДЕНЕЖНОЙ ВЫПЛАТЫ ЛИЦАМ, НАГРАЖДЕННЫМ НАГРУДНЫМ</w:t>
      </w:r>
    </w:p>
    <w:p>
      <w:pPr>
        <w:pStyle w:val="2"/>
        <w:jc w:val="center"/>
      </w:pPr>
      <w:r>
        <w:rPr>
          <w:sz w:val="24"/>
        </w:rPr>
        <w:t xml:space="preserve">ЗНАКОМ "ПОЧЕТНЫЙ ДОНОР РОССИИ"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hyperlink w:history="0" r:id="rId15" w:tooltip="Постановление Правительства РФ от 16.07.2025 N 1069 &quot;О внесении изменений в постановление Правительства Российской Федерации от 24 марта 2025 г. N 345&quot; {КонсультантПлюс}">
              <w:r>
                <w:rPr>
                  <w:sz w:val="24"/>
                  <w:color w:val="0000ff"/>
                </w:rPr>
                <w:t xml:space="preserve">Постановления</w:t>
              </w:r>
            </w:hyperlink>
            <w:r>
              <w:rPr>
                <w:sz w:val="24"/>
                <w:color w:val="392c69"/>
              </w:rPr>
              <w:t xml:space="preserve"> Правительства РФ от 16.07.2025 N 1069)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1. В соответствии с настоящей методикой осуществляется расчет размера субвенций, предоставляемых из федерального бюджета бюджетам субъектов Российской Федерации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w:t>
      </w:r>
      <w:hyperlink w:history="0" r:id="rId16" w:tooltip="Постановление Правительства РФ от 14.03.2023 N 388 &quot;Об утверждении Положения о нагрудном знаке &quot;Почетный донор России&quot; и описания нагрудного знака &quot;Почетный донор России&quot; и признании утратившими силу некоторых актов Правительства Российской Федерации и отдельного положения акта Правительства Российской Федерации&quot; {КонсультантПлюс}">
        <w:r>
          <w:rPr>
            <w:sz w:val="24"/>
            <w:color w:val="0000ff"/>
          </w:rPr>
          <w:t xml:space="preserve">знаком</w:t>
        </w:r>
      </w:hyperlink>
      <w:r>
        <w:rPr>
          <w:sz w:val="24"/>
        </w:rPr>
        <w:t xml:space="preserve"> "Почетный донор России" ("Почетный донор СССР") (далее соответственно - переданное полномочие Российской Федерации, субвенции).</w:t>
      </w:r>
    </w:p>
    <w:p>
      <w:pPr>
        <w:pStyle w:val="0"/>
        <w:spacing w:before="240" w:lineRule="auto"/>
        <w:ind w:firstLine="540"/>
        <w:jc w:val="both"/>
      </w:pPr>
      <w:r>
        <w:rPr>
          <w:sz w:val="24"/>
        </w:rPr>
        <w:t xml:space="preserve">2. Общий размер субвенций распределяется с учетом следующего:</w:t>
      </w:r>
    </w:p>
    <w:p>
      <w:pPr>
        <w:pStyle w:val="0"/>
        <w:spacing w:before="240" w:lineRule="auto"/>
        <w:ind w:firstLine="540"/>
        <w:jc w:val="both"/>
      </w:pPr>
      <w:r>
        <w:rPr>
          <w:sz w:val="24"/>
        </w:rPr>
        <w:t xml:space="preserve">а) не менее 95 процентов распределяется между субъектами Российской Федерации;</w:t>
      </w:r>
    </w:p>
    <w:bookmarkStart w:id="81" w:name="P81"/>
    <w:bookmarkEnd w:id="81"/>
    <w:p>
      <w:pPr>
        <w:pStyle w:val="0"/>
        <w:spacing w:before="240" w:lineRule="auto"/>
        <w:ind w:firstLine="540"/>
        <w:jc w:val="both"/>
      </w:pPr>
      <w:r>
        <w:rPr>
          <w:sz w:val="24"/>
        </w:rPr>
        <w:t xml:space="preserve">б) до 5 процентов составляют средства, не распределенные между субъектами Российской Федерации (нераспределенный резерв субвенций).</w:t>
      </w:r>
    </w:p>
    <w:p>
      <w:pPr>
        <w:pStyle w:val="0"/>
        <w:spacing w:before="240" w:lineRule="auto"/>
        <w:ind w:firstLine="540"/>
        <w:jc w:val="both"/>
      </w:pPr>
      <w:r>
        <w:rPr>
          <w:sz w:val="24"/>
        </w:rPr>
        <w:t xml:space="preserve">3. Размер предоставляемой бюджету i-го субъекта Российской Федерации субвенции (</w:t>
      </w:r>
      <w:r>
        <w:rPr>
          <w:position w:val="-10"/>
        </w:rPr>
        <w:drawing>
          <wp:inline distT="0" distB="0" distL="0" distR="0">
            <wp:extent cx="262890" cy="2857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
                      <a:extLst>
                        <a:ext uri="{28A0092B-C50C-407E-A947-70E740481C1C}">
                          <a14:useLocalDpi xmlns:a14="http://schemas.microsoft.com/office/drawing/2010/main" val="0"/>
                        </a:ext>
                      </a:extLst>
                    </a:blip>
                    <a:srcRect/>
                    <a:stretch>
                      <a:fillRect/>
                    </a:stretch>
                  </pic:blipFill>
                  <pic:spPr bwMode="auto">
                    <a:xfrm>
                      <a:off x="0" y="0"/>
                      <a:ext cx="262890" cy="285750"/>
                    </a:xfrm>
                    <a:prstGeom prst="rect">
                      <a:avLst/>
                    </a:prstGeom>
                    <a:noFill/>
                    <a:ln>
                      <a:noFill/>
                    </a:ln>
                  </pic:spPr>
                </pic:pic>
              </a:graphicData>
            </a:graphic>
          </wp:inline>
        </w:drawing>
      </w:r>
      <w:r>
        <w:rPr>
          <w:sz w:val="24"/>
        </w:rPr>
        <w:t xml:space="preserve">) определяется по формуле:</w:t>
      </w:r>
    </w:p>
    <w:p>
      <w:pPr>
        <w:pStyle w:val="0"/>
        <w:ind w:firstLine="540"/>
        <w:jc w:val="both"/>
      </w:pPr>
      <w:r>
        <w:rPr>
          <w:sz w:val="24"/>
        </w:rPr>
      </w:r>
    </w:p>
    <w:p>
      <w:pPr>
        <w:pStyle w:val="0"/>
        <w:jc w:val="center"/>
      </w:pPr>
      <w:r>
        <w:rPr>
          <w:position w:val="-12"/>
        </w:rPr>
        <w:drawing>
          <wp:inline distT="0" distB="0" distL="0" distR="0">
            <wp:extent cx="1954530" cy="30861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a:extLst>
                        <a:ext uri="{28A0092B-C50C-407E-A947-70E740481C1C}">
                          <a14:useLocalDpi xmlns:a14="http://schemas.microsoft.com/office/drawing/2010/main" val="0"/>
                        </a:ext>
                      </a:extLst>
                    </a:blip>
                    <a:srcRect/>
                    <a:stretch>
                      <a:fillRect/>
                    </a:stretch>
                  </pic:blipFill>
                  <pic:spPr bwMode="auto">
                    <a:xfrm>
                      <a:off x="0" y="0"/>
                      <a:ext cx="1954530" cy="308610"/>
                    </a:xfrm>
                    <a:prstGeom prst="rect">
                      <a:avLst/>
                    </a:prstGeom>
                    <a:noFill/>
                    <a:ln>
                      <a:noFill/>
                    </a:ln>
                  </pic:spPr>
                </pic:pic>
              </a:graphicData>
            </a:graphic>
          </wp:inline>
        </w:drawing>
      </w:r>
    </w:p>
    <w:p>
      <w:pPr>
        <w:pStyle w:val="0"/>
        <w:jc w:val="center"/>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Е</w:t>
      </w:r>
      <w:r>
        <w:rPr>
          <w:sz w:val="24"/>
          <w:vertAlign w:val="subscript"/>
        </w:rPr>
        <w:t xml:space="preserve">i</w:t>
      </w:r>
      <w:r>
        <w:rPr>
          <w:sz w:val="24"/>
        </w:rPr>
        <w:t xml:space="preserve"> - численность лиц, награжденных нагрудным знаком "Почетный донор России" ("Почетный донор СССР"), в субъекте Российской Федерации;</w:t>
      </w:r>
    </w:p>
    <w:p>
      <w:pPr>
        <w:pStyle w:val="0"/>
        <w:spacing w:before="240" w:lineRule="auto"/>
        <w:ind w:firstLine="540"/>
        <w:jc w:val="both"/>
      </w:pPr>
      <w:r>
        <w:rPr>
          <w:sz w:val="24"/>
        </w:rPr>
        <w:t xml:space="preserve">В - размер ежегодной денежной выплаты лицам, награжденным нагрудным знаком "Почетный донор России" ("Почетный донор СССР"), установленный Федеральным </w:t>
      </w:r>
      <w:hyperlink w:history="0" r:id="rId19" w:tooltip="Федеральный закон от 20.07.2012 N 125-ФЗ (ред. от 28.12.2024) &quot;О донорстве крови и ее компонентов&quot; {КонсультантПлюс}">
        <w:r>
          <w:rPr>
            <w:sz w:val="24"/>
            <w:color w:val="0000ff"/>
          </w:rPr>
          <w:t xml:space="preserve">законом</w:t>
        </w:r>
      </w:hyperlink>
      <w:r>
        <w:rPr>
          <w:sz w:val="24"/>
        </w:rPr>
        <w:t xml:space="preserve"> "О донорстве крови и ее компонентов", определяемый с учетом индексации исходя из установленного федеральным законом о федеральном бюджете на очередной финансовый год и плановый период прогнозного уровня инфляции;</w:t>
      </w:r>
    </w:p>
    <w:p>
      <w:pPr>
        <w:pStyle w:val="0"/>
        <w:spacing w:before="240" w:lineRule="auto"/>
        <w:ind w:firstLine="540"/>
        <w:jc w:val="both"/>
      </w:pPr>
      <w:r>
        <w:rPr>
          <w:sz w:val="24"/>
        </w:rPr>
        <w:t xml:space="preserve">Д - расходы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субъектов Российской Федерации и находящихся в их ведении организаций в связи с осуществлением переданного полномочия Российской Федерации в пределах 1,5 процента размера указанной ежегодной денежной выплаты за год, на который рассчитывается субвенция;</w:t>
      </w:r>
    </w:p>
    <w:p>
      <w:pPr>
        <w:pStyle w:val="0"/>
        <w:spacing w:before="240" w:lineRule="auto"/>
        <w:ind w:firstLine="540"/>
        <w:jc w:val="both"/>
      </w:pPr>
      <w:r>
        <w:rPr>
          <w:position w:val="-10"/>
        </w:rPr>
        <w:drawing>
          <wp:inline distT="0" distB="0" distL="0" distR="0">
            <wp:extent cx="377190" cy="2857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 cy="285750"/>
                    </a:xfrm>
                    <a:prstGeom prst="rect">
                      <a:avLst/>
                    </a:prstGeom>
                    <a:noFill/>
                    <a:ln>
                      <a:noFill/>
                    </a:ln>
                  </pic:spPr>
                </pic:pic>
              </a:graphicData>
            </a:graphic>
          </wp:inline>
        </w:drawing>
      </w:r>
      <w:r>
        <w:rPr>
          <w:sz w:val="24"/>
        </w:rPr>
        <w:t xml:space="preserve"> - коэффициент корректировки расходов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i-го субъекта Российской Федерации и находящихся в их ведении организаций в связи с осуществлением переданного полномочия Российской Федерации.</w:t>
      </w:r>
    </w:p>
    <w:p>
      <w:pPr>
        <w:pStyle w:val="0"/>
        <w:spacing w:before="240" w:lineRule="auto"/>
        <w:ind w:firstLine="540"/>
        <w:jc w:val="both"/>
      </w:pPr>
      <w:r>
        <w:rPr>
          <w:sz w:val="24"/>
        </w:rPr>
        <w:t xml:space="preserve">Размер субвенции рассчитывается в тысячах рублей с округлением до одного знака после запятой.</w:t>
      </w:r>
    </w:p>
    <w:p>
      <w:pPr>
        <w:pStyle w:val="0"/>
        <w:spacing w:before="240" w:lineRule="auto"/>
        <w:ind w:firstLine="540"/>
        <w:jc w:val="both"/>
      </w:pPr>
      <w:r>
        <w:rPr>
          <w:sz w:val="24"/>
        </w:rPr>
        <w:t xml:space="preserve">Размер ежегодной денежной выплаты лицам, награжденным нагрудным знаком "Почетный донор России" ("Почетный донор СССР"), установленный Федеральным </w:t>
      </w:r>
      <w:r>
        <w:rPr>
          <w:sz w:val="24"/>
        </w:rPr>
        <w:t xml:space="preserve">законом</w:t>
      </w:r>
      <w:r>
        <w:rPr>
          <w:sz w:val="24"/>
        </w:rPr>
        <w:t xml:space="preserve"> "О донорстве крови и ее компонентов", рассчитываемый в соответствии с настоящей методикой, округляется до второго знака после запятой.</w:t>
      </w:r>
    </w:p>
    <w:p>
      <w:pPr>
        <w:pStyle w:val="0"/>
        <w:spacing w:before="240" w:lineRule="auto"/>
        <w:ind w:firstLine="540"/>
        <w:jc w:val="both"/>
      </w:pPr>
      <w:r>
        <w:rPr>
          <w:sz w:val="24"/>
        </w:rPr>
        <w:t xml:space="preserve">Расходы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субъектов Российской Федерации и находящихся в их ведении организаций в связи с осуществлением переданного полномочия Российской Федерации, рассчитываемые в соответствии с настоящей методикой, определяются с округлением значения до целого числа.</w:t>
      </w:r>
    </w:p>
    <w:p>
      <w:pPr>
        <w:pStyle w:val="0"/>
        <w:jc w:val="both"/>
      </w:pPr>
      <w:r>
        <w:rPr>
          <w:sz w:val="24"/>
        </w:rPr>
        <w:t xml:space="preserve">(п. 3 в ред. </w:t>
      </w:r>
      <w:hyperlink w:history="0" r:id="rId21" w:tooltip="Постановление Правительства РФ от 16.07.2025 N 1069 &quot;О внесении изменений в постановление Правительства Российской Федерации от 24 марта 2025 г. N 345&quot; {КонсультантПлюс}">
        <w:r>
          <w:rPr>
            <w:sz w:val="24"/>
            <w:color w:val="0000ff"/>
          </w:rPr>
          <w:t xml:space="preserve">Постановления</w:t>
        </w:r>
      </w:hyperlink>
      <w:r>
        <w:rPr>
          <w:sz w:val="24"/>
        </w:rPr>
        <w:t xml:space="preserve"> Правительства РФ от 16.07.2025 N 1069)</w:t>
      </w:r>
    </w:p>
    <w:p>
      <w:pPr>
        <w:pStyle w:val="0"/>
        <w:spacing w:before="240" w:lineRule="auto"/>
        <w:ind w:firstLine="540"/>
        <w:jc w:val="both"/>
      </w:pPr>
      <w:r>
        <w:rPr>
          <w:sz w:val="24"/>
        </w:rPr>
        <w:t xml:space="preserve">4. Коэффициент корректировки расходов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i-го субъекта Российской Федерации и находящихся в их ведении организаций в связи с осуществлением переданного полномочия Российской Федерации (</w:t>
      </w:r>
      <w:r>
        <w:rPr>
          <w:position w:val="-10"/>
        </w:rPr>
        <w:drawing>
          <wp:inline distT="0" distB="0" distL="0" distR="0">
            <wp:extent cx="377190" cy="2857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a:extLst>
                        <a:ext uri="{28A0092B-C50C-407E-A947-70E740481C1C}">
                          <a14:useLocalDpi xmlns:a14="http://schemas.microsoft.com/office/drawing/2010/main" val="0"/>
                        </a:ext>
                      </a:extLst>
                    </a:blip>
                    <a:srcRect/>
                    <a:stretch>
                      <a:fillRect/>
                    </a:stretch>
                  </pic:blipFill>
                  <pic:spPr bwMode="auto">
                    <a:xfrm>
                      <a:off x="0" y="0"/>
                      <a:ext cx="377190" cy="285750"/>
                    </a:xfrm>
                    <a:prstGeom prst="rect">
                      <a:avLst/>
                    </a:prstGeom>
                    <a:noFill/>
                    <a:ln>
                      <a:noFill/>
                    </a:ln>
                  </pic:spPr>
                </pic:pic>
              </a:graphicData>
            </a:graphic>
          </wp:inline>
        </w:drawing>
      </w:r>
      <w:r>
        <w:rPr>
          <w:sz w:val="24"/>
        </w:rPr>
        <w:t xml:space="preserve">) определяется по формуле:</w:t>
      </w:r>
    </w:p>
    <w:p>
      <w:pPr>
        <w:pStyle w:val="0"/>
        <w:ind w:firstLine="540"/>
        <w:jc w:val="both"/>
      </w:pPr>
      <w:r>
        <w:rPr>
          <w:sz w:val="24"/>
        </w:rPr>
      </w:r>
    </w:p>
    <w:p>
      <w:pPr>
        <w:pStyle w:val="0"/>
        <w:jc w:val="center"/>
      </w:pPr>
      <w:r>
        <w:rPr>
          <w:position w:val="-33"/>
        </w:rPr>
        <w:drawing>
          <wp:inline distT="0" distB="0" distL="0" distR="0">
            <wp:extent cx="1085850" cy="58293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a:extLst>
                        <a:ext uri="{28A0092B-C50C-407E-A947-70E740481C1C}">
                          <a14:useLocalDpi xmlns:a14="http://schemas.microsoft.com/office/drawing/2010/main" val="0"/>
                        </a:ext>
                      </a:extLst>
                    </a:blip>
                    <a:srcRect/>
                    <a:stretch>
                      <a:fillRect/>
                    </a:stretch>
                  </pic:blipFill>
                  <pic:spPr bwMode="auto">
                    <a:xfrm>
                      <a:off x="0" y="0"/>
                      <a:ext cx="1085850" cy="582930"/>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position w:val="-10"/>
        </w:rPr>
        <w:drawing>
          <wp:inline distT="0" distB="0" distL="0" distR="0">
            <wp:extent cx="445770" cy="2857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a:extLst>
                        <a:ext uri="{28A0092B-C50C-407E-A947-70E740481C1C}">
                          <a14:useLocalDpi xmlns:a14="http://schemas.microsoft.com/office/drawing/2010/main" val="0"/>
                        </a:ext>
                      </a:extLst>
                    </a:blip>
                    <a:srcRect/>
                    <a:stretch>
                      <a:fillRect/>
                    </a:stretch>
                  </pic:blipFill>
                  <pic:spPr bwMode="auto">
                    <a:xfrm>
                      <a:off x="0" y="0"/>
                      <a:ext cx="445770" cy="285750"/>
                    </a:xfrm>
                    <a:prstGeom prst="rect">
                      <a:avLst/>
                    </a:prstGeom>
                    <a:noFill/>
                    <a:ln>
                      <a:noFill/>
                    </a:ln>
                  </pic:spPr>
                </pic:pic>
              </a:graphicData>
            </a:graphic>
          </wp:inline>
        </w:drawing>
      </w:r>
      <w:r>
        <w:rPr>
          <w:sz w:val="24"/>
        </w:rPr>
        <w:t xml:space="preserve"> - фактические расходы i-го субъекта Российской Федерации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субъектов Российской Федерации и находящихся в их ведении организаций в связи с осуществлением переданного полномочия Российской Федерации за год, предшествующий году, в котором рассчитывается субвенция, по данным субъектов Российской Федерации.</w:t>
      </w:r>
    </w:p>
    <w:p>
      <w:pPr>
        <w:pStyle w:val="0"/>
        <w:spacing w:before="240" w:lineRule="auto"/>
        <w:ind w:firstLine="540"/>
        <w:jc w:val="both"/>
      </w:pPr>
      <w:r>
        <w:rPr>
          <w:position w:val="-10"/>
        </w:rPr>
        <w:drawing>
          <wp:inline distT="0" distB="0" distL="0" distR="0">
            <wp:extent cx="422910" cy="2857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a:extLst>
                        <a:ext uri="{28A0092B-C50C-407E-A947-70E740481C1C}">
                          <a14:useLocalDpi xmlns:a14="http://schemas.microsoft.com/office/drawing/2010/main" val="0"/>
                        </a:ext>
                      </a:extLst>
                    </a:blip>
                    <a:srcRect/>
                    <a:stretch>
                      <a:fillRect/>
                    </a:stretch>
                  </pic:blipFill>
                  <pic:spPr bwMode="auto">
                    <a:xfrm>
                      <a:off x="0" y="0"/>
                      <a:ext cx="422910" cy="285750"/>
                    </a:xfrm>
                    <a:prstGeom prst="rect">
                      <a:avLst/>
                    </a:prstGeom>
                    <a:noFill/>
                    <a:ln>
                      <a:noFill/>
                    </a:ln>
                  </pic:spPr>
                </pic:pic>
              </a:graphicData>
            </a:graphic>
          </wp:inline>
        </w:drawing>
      </w:r>
      <w:r>
        <w:rPr>
          <w:sz w:val="24"/>
        </w:rPr>
        <w:t xml:space="preserve"> - расчетное значение расходов i-го субъекта Российской Федерации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субъектов Российской Федерации и находящихся в их ведении организаций в связи с осуществлением переданного полномочия Российской Федерации, предусмотренных бюджету i-го субъекта Российской Федерации, скорректированное на фактическую численность лиц, награжденных нагрудным знаком "Почетный донор России" ("Почетный донор СССР"), на год, на который рассчитывается субвенция, по данным субъектов Российской Федерации.</w:t>
      </w:r>
    </w:p>
    <w:p>
      <w:pPr>
        <w:pStyle w:val="0"/>
        <w:spacing w:before="240" w:lineRule="auto"/>
        <w:ind w:firstLine="540"/>
        <w:jc w:val="both"/>
      </w:pPr>
      <w:r>
        <w:rPr>
          <w:sz w:val="24"/>
        </w:rPr>
        <w:t xml:space="preserve">Значение коэффициента корректировки расходов на оплату услуг по доставке ежегодной денежной выплаты лицам, награжденным нагрудным знаком "Почетный донор России" ("Почетный донор СССР"), и на компенсацию затрат на обеспечение деятельности органов государственной власти i-го субъекта Российской Федерации и находящихся в их ведении организаций в связи с осуществлением переданного полномочия Российской Федерации округляется до второго знака после запятой.</w:t>
      </w:r>
    </w:p>
    <w:p>
      <w:pPr>
        <w:pStyle w:val="0"/>
        <w:jc w:val="both"/>
      </w:pPr>
      <w:r>
        <w:rPr>
          <w:sz w:val="24"/>
        </w:rPr>
        <w:t xml:space="preserve">(п. 4 в ред. </w:t>
      </w:r>
      <w:hyperlink w:history="0" r:id="rId26" w:tooltip="Постановление Правительства РФ от 16.07.2025 N 1069 &quot;О внесении изменений в постановление Правительства Российской Федерации от 24 марта 2025 г. N 345&quot; {КонсультантПлюс}">
        <w:r>
          <w:rPr>
            <w:sz w:val="24"/>
            <w:color w:val="0000ff"/>
          </w:rPr>
          <w:t xml:space="preserve">Постановления</w:t>
        </w:r>
      </w:hyperlink>
      <w:r>
        <w:rPr>
          <w:sz w:val="24"/>
        </w:rPr>
        <w:t xml:space="preserve"> Правительства РФ от 16.07.2025 N 1069)</w:t>
      </w:r>
    </w:p>
    <w:p>
      <w:pPr>
        <w:pStyle w:val="0"/>
        <w:spacing w:before="240" w:lineRule="auto"/>
        <w:ind w:firstLine="540"/>
        <w:jc w:val="both"/>
      </w:pPr>
      <w:r>
        <w:rPr>
          <w:sz w:val="24"/>
        </w:rPr>
        <w:t xml:space="preserve">5. Размер субвенции, предоставляемой бюджету субъекта Российской Федерации, может уточняться в целях погашения задолженности, образовавшейся у субъектов Российской Федерации в связи с осуществлением ежегодной денежной выплаты лицам, награжденным нагрудным знаком "Почетный донор России" ("Почетный донор СССР"), с учетом увеличения в текущем финансовом году количества лиц, награжденных нагрудным знаком "Почетный донор России" ("Почетный донор СССР").</w:t>
      </w:r>
    </w:p>
    <w:p>
      <w:pPr>
        <w:pStyle w:val="0"/>
        <w:spacing w:before="240" w:lineRule="auto"/>
        <w:ind w:firstLine="540"/>
        <w:jc w:val="both"/>
      </w:pPr>
      <w:r>
        <w:rPr>
          <w:sz w:val="24"/>
        </w:rPr>
        <w:t xml:space="preserve">6. Распределение между субъектами Российской Федерации нераспределенного резерва субвенций, предусмотренного </w:t>
      </w:r>
      <w:hyperlink w:history="0" w:anchor="P81" w:tooltip="б) до 5 процентов составляют средства, не распределенные между субъектами Российской Федерации (нераспределенный резерв субвенций).">
        <w:r>
          <w:rPr>
            <w:sz w:val="24"/>
            <w:color w:val="0000ff"/>
          </w:rPr>
          <w:t xml:space="preserve">подпунктом "б" пункта 2</w:t>
        </w:r>
      </w:hyperlink>
      <w:r>
        <w:rPr>
          <w:sz w:val="24"/>
        </w:rPr>
        <w:t xml:space="preserve"> настоящей методики, осуществляется в соответствии с </w:t>
      </w:r>
      <w:hyperlink w:history="0" w:anchor="P49" w:tooltip="При расчете объема средств на финансовое обеспечение субвенций формируется нераспределенный резерв в размере до 5 процентов общего размера субвенций, который может быть распределен между субъектами Российской Федерации на основании решения, принимаемого Федеральным медико-биологическим агентством, на погашение задолженности, образовавшейся у субъектов Российской Федерации в связи с осуществлением ежегодной денежной выплаты с учетом увеличения в текущем финансовом году количества лиц, награжденных нагрудн...">
        <w:r>
          <w:rPr>
            <w:sz w:val="24"/>
            <w:color w:val="0000ff"/>
          </w:rPr>
          <w:t xml:space="preserve">абзацем вторым пункта 3</w:t>
        </w:r>
      </w:hyperlink>
      <w:r>
        <w:rPr>
          <w:sz w:val="24"/>
        </w:rPr>
        <w:t xml:space="preserve"> Правил предоставления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 утвержденных постановлением Правительства Российской Федерации от 24 марта 2025 г. N 345 "О предоставлении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w:t>
      </w:r>
    </w:p>
    <w:p>
      <w:pPr>
        <w:pStyle w:val="0"/>
        <w:spacing w:before="240" w:lineRule="auto"/>
        <w:ind w:firstLine="540"/>
        <w:jc w:val="both"/>
      </w:pPr>
      <w:r>
        <w:rPr>
          <w:sz w:val="24"/>
        </w:rPr>
        <w:t xml:space="preserve">7. Размер нераспределенного резерва субвенции (С</w:t>
      </w:r>
      <w:r>
        <w:rPr>
          <w:sz w:val="24"/>
          <w:vertAlign w:val="subscript"/>
        </w:rPr>
        <w:t xml:space="preserve">е</w:t>
      </w:r>
      <w:r>
        <w:rPr>
          <w:sz w:val="24"/>
        </w:rPr>
        <w:t xml:space="preserve">) определяется по формуле:</w:t>
      </w:r>
    </w:p>
    <w:p>
      <w:pPr>
        <w:pStyle w:val="0"/>
        <w:ind w:firstLine="540"/>
        <w:jc w:val="both"/>
      </w:pPr>
      <w:r>
        <w:rPr>
          <w:sz w:val="24"/>
        </w:rPr>
      </w:r>
    </w:p>
    <w:p>
      <w:pPr>
        <w:pStyle w:val="0"/>
        <w:jc w:val="center"/>
      </w:pPr>
      <w:r>
        <w:rPr>
          <w:position w:val="-28"/>
        </w:rPr>
        <w:drawing>
          <wp:inline distT="0" distB="0" distL="0" distR="0">
            <wp:extent cx="1360170" cy="5143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
                      <a:extLst>
                        <a:ext uri="{28A0092B-C50C-407E-A947-70E740481C1C}">
                          <a14:useLocalDpi xmlns:a14="http://schemas.microsoft.com/office/drawing/2010/main" val="0"/>
                        </a:ext>
                      </a:extLst>
                    </a:blip>
                    <a:srcRect/>
                    <a:stretch>
                      <a:fillRect/>
                    </a:stretch>
                  </pic:blipFill>
                  <pic:spPr bwMode="auto">
                    <a:xfrm>
                      <a:off x="0" y="0"/>
                      <a:ext cx="1360170" cy="514350"/>
                    </a:xfrm>
                    <a:prstGeom prst="rect">
                      <a:avLst/>
                    </a:prstGeom>
                    <a:noFill/>
                    <a:ln>
                      <a:noFill/>
                    </a:ln>
                  </pic:spPr>
                </pic:pic>
              </a:graphicData>
            </a:graphic>
          </wp:inline>
        </w:drawing>
      </w:r>
    </w:p>
    <w:p>
      <w:pPr>
        <w:pStyle w:val="0"/>
        <w:ind w:firstLine="540"/>
        <w:jc w:val="both"/>
      </w:pPr>
      <w:r>
        <w:rPr>
          <w:sz w:val="24"/>
        </w:rPr>
      </w:r>
    </w:p>
    <w:p>
      <w:pPr>
        <w:pStyle w:val="0"/>
        <w:ind w:firstLine="540"/>
        <w:jc w:val="both"/>
      </w:pPr>
      <w:r>
        <w:rPr>
          <w:sz w:val="24"/>
        </w:rPr>
        <w:t xml:space="preserve">где:</w:t>
      </w:r>
    </w:p>
    <w:p>
      <w:pPr>
        <w:pStyle w:val="0"/>
        <w:spacing w:before="240" w:lineRule="auto"/>
        <w:ind w:firstLine="540"/>
        <w:jc w:val="both"/>
      </w:pPr>
      <w:r>
        <w:rPr>
          <w:position w:val="-10"/>
        </w:rPr>
        <w:drawing>
          <wp:inline distT="0" distB="0" distL="0" distR="0">
            <wp:extent cx="228600" cy="28575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8">
                      <a:extLst>
                        <a:ext uri="{28A0092B-C50C-407E-A947-70E740481C1C}">
                          <a14:useLocalDpi xmlns:a14="http://schemas.microsoft.com/office/drawing/2010/main" val="0"/>
                        </a:ext>
                      </a:extLst>
                    </a:blip>
                    <a:srcRect/>
                    <a:stretch>
                      <a:fillRect/>
                    </a:stretch>
                  </pic:blipFill>
                  <pic:spPr bwMode="auto">
                    <a:xfrm>
                      <a:off x="0" y="0"/>
                      <a:ext cx="228600" cy="285750"/>
                    </a:xfrm>
                    <a:prstGeom prst="rect">
                      <a:avLst/>
                    </a:prstGeom>
                    <a:noFill/>
                    <a:ln>
                      <a:noFill/>
                    </a:ln>
                  </pic:spPr>
                </pic:pic>
              </a:graphicData>
            </a:graphic>
          </wp:inline>
        </w:drawing>
      </w:r>
      <w:r>
        <w:rPr>
          <w:sz w:val="24"/>
        </w:rPr>
        <w:t xml:space="preserve"> - размер предоставляемой бюджету i-го субъекта Российской Федерации субвенции;</w:t>
      </w:r>
    </w:p>
    <w:p>
      <w:pPr>
        <w:pStyle w:val="0"/>
        <w:spacing w:before="240" w:lineRule="auto"/>
        <w:ind w:firstLine="540"/>
        <w:jc w:val="both"/>
      </w:pPr>
      <w:r>
        <w:rPr>
          <w:sz w:val="24"/>
        </w:rPr>
        <w:t xml:space="preserve">n - количество субъектов Российской Федерации - получателей субвенций.</w:t>
      </w:r>
    </w:p>
    <w:p>
      <w:pPr>
        <w:pStyle w:val="0"/>
        <w:jc w:val="both"/>
      </w:pPr>
      <w:r>
        <w:rPr>
          <w:sz w:val="24"/>
        </w:rPr>
        <w:t xml:space="preserve">(п. 7 в ред. </w:t>
      </w:r>
      <w:hyperlink w:history="0" r:id="rId29" w:tooltip="Постановление Правительства РФ от 16.07.2025 N 1069 &quot;О внесении изменений в постановление Правительства Российской Федерации от 24 марта 2025 г. N 345&quot; {КонсультантПлюс}">
        <w:r>
          <w:rPr>
            <w:sz w:val="24"/>
            <w:color w:val="0000ff"/>
          </w:rPr>
          <w:t xml:space="preserve">Постановления</w:t>
        </w:r>
      </w:hyperlink>
      <w:r>
        <w:rPr>
          <w:sz w:val="24"/>
        </w:rPr>
        <w:t xml:space="preserve"> Правительства РФ от 16.07.2025 N 1069)</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РФ от 24.03.2025 N 345</w:t>
            <w:br/>
            <w:t>(ред. от 16.07.2025)</w:t>
            <w:br/>
            <w:t>"О предоставлении из федерального бюджета бюджет...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10105&amp;date=02.03.2026&amp;dst=100005&amp;field=134" TargetMode = "External"/><Relationship Id="rId9" Type="http://schemas.openxmlformats.org/officeDocument/2006/relationships/hyperlink" Target="https://login.consultant.ru/link/?req=doc&amp;base=LAW&amp;n=199326&amp;date=02.03.2026" TargetMode = "External"/><Relationship Id="rId10" Type="http://schemas.openxmlformats.org/officeDocument/2006/relationships/hyperlink" Target="https://login.consultant.ru/link/?req=doc&amp;base=LAW&amp;n=500350&amp;date=02.03.2026&amp;dst=100206&amp;field=134" TargetMode = "External"/><Relationship Id="rId11" Type="http://schemas.openxmlformats.org/officeDocument/2006/relationships/hyperlink" Target="https://login.consultant.ru/link/?req=doc&amp;base=LAW&amp;n=442132&amp;date=02.03.2026&amp;dst=100005&amp;field=134" TargetMode = "External"/><Relationship Id="rId12" Type="http://schemas.openxmlformats.org/officeDocument/2006/relationships/hyperlink" Target="https://login.consultant.ru/link/?req=doc&amp;base=LAW&amp;n=505126&amp;date=02.03.2026&amp;dst=2&amp;field=134" TargetMode = "External"/><Relationship Id="rId13" Type="http://schemas.openxmlformats.org/officeDocument/2006/relationships/hyperlink" Target="https://login.consultant.ru/link/?req=doc&amp;base=LAW&amp;n=517594&amp;date=02.03.2026&amp;dst=100012&amp;field=134" TargetMode = "External"/><Relationship Id="rId14" Type="http://schemas.openxmlformats.org/officeDocument/2006/relationships/hyperlink" Target="https://login.consultant.ru/link/?req=doc&amp;base=LAW&amp;n=517594&amp;date=02.03.2026&amp;dst=100090&amp;field=134" TargetMode = "External"/><Relationship Id="rId15" Type="http://schemas.openxmlformats.org/officeDocument/2006/relationships/hyperlink" Target="https://login.consultant.ru/link/?req=doc&amp;base=LAW&amp;n=510105&amp;date=02.03.2026&amp;dst=100005&amp;field=134" TargetMode = "External"/><Relationship Id="rId16" Type="http://schemas.openxmlformats.org/officeDocument/2006/relationships/hyperlink" Target="https://login.consultant.ru/link/?req=doc&amp;base=LAW&amp;n=442132&amp;date=02.03.2026&amp;dst=100005&amp;field=134" TargetMode = "External"/><Relationship Id="rId17" Type="http://schemas.openxmlformats.org/officeDocument/2006/relationships/image" Target="media/image2.wmf"/><Relationship Id="rId18" Type="http://schemas.openxmlformats.org/officeDocument/2006/relationships/image" Target="media/image3.wmf"/><Relationship Id="rId19" Type="http://schemas.openxmlformats.org/officeDocument/2006/relationships/hyperlink" Target="https://login.consultant.ru/link/?req=doc&amp;base=LAW&amp;n=499488&amp;date=02.03.2026" TargetMode = "External"/><Relationship Id="rId20" Type="http://schemas.openxmlformats.org/officeDocument/2006/relationships/image" Target="media/image4.wmf"/><Relationship Id="rId21" Type="http://schemas.openxmlformats.org/officeDocument/2006/relationships/hyperlink" Target="https://login.consultant.ru/link/?req=doc&amp;base=LAW&amp;n=510105&amp;date=02.03.2026&amp;dst=100010&amp;field=134" TargetMode = "External"/><Relationship Id="rId22" Type="http://schemas.openxmlformats.org/officeDocument/2006/relationships/image" Target="media/image5.wmf"/><Relationship Id="rId23" Type="http://schemas.openxmlformats.org/officeDocument/2006/relationships/image" Target="media/image6.wmf"/><Relationship Id="rId24" Type="http://schemas.openxmlformats.org/officeDocument/2006/relationships/image" Target="media/image7.wmf"/><Relationship Id="rId25" Type="http://schemas.openxmlformats.org/officeDocument/2006/relationships/image" Target="media/image8.wmf"/><Relationship Id="rId26" Type="http://schemas.openxmlformats.org/officeDocument/2006/relationships/hyperlink" Target="https://login.consultant.ru/link/?req=doc&amp;base=LAW&amp;n=510105&amp;date=02.03.2026&amp;dst=100021&amp;field=134" TargetMode = "External"/><Relationship Id="rId27" Type="http://schemas.openxmlformats.org/officeDocument/2006/relationships/image" Target="media/image9.wmf"/><Relationship Id="rId28" Type="http://schemas.openxmlformats.org/officeDocument/2006/relationships/image" Target="media/image10.wmf"/><Relationship Id="rId29" Type="http://schemas.openxmlformats.org/officeDocument/2006/relationships/hyperlink" Target="https://login.consultant.ru/link/?req=doc&amp;base=LAW&amp;n=510105&amp;date=02.03.2026&amp;dst=100027&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РФ от 24.03.2025 N 345
(ред. от 16.07.2025)
"О предоставлении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"Почетный донор России"
(вместе с "Правилами предоставления из федерального бюджета бюджетам субъектов Российской Федерации субвенций на осущест</dc:title>
  <dcterms:created xsi:type="dcterms:W3CDTF">2026-03-02T00:01:31Z</dcterms:created>
</cp:coreProperties>
</file>