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10.08.2015 N 384</w:t>
              <w:br/>
              <w:t xml:space="preserve">(ред. от 26.06.2025)</w:t>
              <w:br/>
              <w:t xml:space="preserve">"Об утверждении Положения о формировании государственного задания на оказание государственных услуг (выполнение работ) в отношении областных государственных учреждений и финансовом обеспечении выполнения государственного задания, Порядков предоставления из областного бюджета субсидий областным бюджетным и автономным учреждениям"</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ind w:firstLine="54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10 августа 2015 г. N 384</w:t>
      </w:r>
    </w:p>
    <w:p>
      <w:pPr>
        <w:pStyle w:val="2"/>
        <w:jc w:val="center"/>
      </w:pPr>
      <w:r>
        <w:rPr>
          <w:sz w:val="24"/>
        </w:rPr>
      </w:r>
    </w:p>
    <w:p>
      <w:pPr>
        <w:pStyle w:val="2"/>
        <w:jc w:val="center"/>
      </w:pPr>
      <w:r>
        <w:rPr>
          <w:sz w:val="24"/>
        </w:rPr>
        <w:t xml:space="preserve">ОБ УТВЕРЖДЕНИИ ПОЛОЖЕНИЯ О ФОРМИРОВАНИИ ГОСУДАРСТВЕННОГО</w:t>
      </w:r>
    </w:p>
    <w:p>
      <w:pPr>
        <w:pStyle w:val="2"/>
        <w:jc w:val="center"/>
      </w:pPr>
      <w:r>
        <w:rPr>
          <w:sz w:val="24"/>
        </w:rPr>
        <w:t xml:space="preserve">ЗАДАНИЯ НА ОКАЗАНИЕ ГОСУДАРСТВЕННЫХ УСЛУГ (ВЫПОЛНЕНИЕ</w:t>
      </w:r>
    </w:p>
    <w:p>
      <w:pPr>
        <w:pStyle w:val="2"/>
        <w:jc w:val="center"/>
      </w:pPr>
      <w:r>
        <w:rPr>
          <w:sz w:val="24"/>
        </w:rPr>
        <w:t xml:space="preserve">РАБОТ) В ОТНОШЕНИИ ОБЛАСТНЫХ ГОСУДАРСТВЕННЫХ УЧРЕЖДЕНИЙ</w:t>
      </w:r>
    </w:p>
    <w:p>
      <w:pPr>
        <w:pStyle w:val="2"/>
        <w:jc w:val="center"/>
      </w:pPr>
      <w:r>
        <w:rPr>
          <w:sz w:val="24"/>
        </w:rPr>
        <w:t xml:space="preserve">И ФИНАНСОВОМ ОБЕСПЕЧЕНИИ ВЫПОЛНЕНИЯ ГОСУДАРСТВЕННОГО</w:t>
      </w:r>
    </w:p>
    <w:p>
      <w:pPr>
        <w:pStyle w:val="2"/>
        <w:jc w:val="center"/>
      </w:pPr>
      <w:r>
        <w:rPr>
          <w:sz w:val="24"/>
        </w:rPr>
        <w:t xml:space="preserve">ЗАДАНИЯ, ПОРЯДКОВ ПРЕДОСТАВЛЕНИЯ ИЗ ОБЛАСТНОГО</w:t>
      </w:r>
    </w:p>
    <w:p>
      <w:pPr>
        <w:pStyle w:val="2"/>
        <w:jc w:val="center"/>
      </w:pPr>
      <w:r>
        <w:rPr>
          <w:sz w:val="24"/>
        </w:rPr>
        <w:t xml:space="preserve">БЮДЖЕТА СУБСИДИЙ ОБЛАСТНЫМ БЮДЖЕТНЫМ</w:t>
      </w:r>
    </w:p>
    <w:p>
      <w:pPr>
        <w:pStyle w:val="2"/>
        <w:jc w:val="center"/>
      </w:pPr>
      <w:r>
        <w:rPr>
          <w:sz w:val="24"/>
        </w:rPr>
        <w:t xml:space="preserve">И АВТОНОМНЫМ УЧРЕЖДЕНИЯМ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08.04.2016 </w:t>
            </w:r>
            <w:hyperlink w:history="0" r:id="rId8" w:tooltip="Постановление Правительства Амурской области от 08.04.2016 N 119 &quot;О внесении изменений в постановление Правительства Амурской области от 10 августа 2015 г. N 384&quot; {КонсультантПлюс}">
              <w:r>
                <w:rPr>
                  <w:sz w:val="24"/>
                  <w:color w:val="0000ff"/>
                </w:rPr>
                <w:t xml:space="preserve">N 119</w:t>
              </w:r>
            </w:hyperlink>
            <w:r>
              <w:rPr>
                <w:sz w:val="24"/>
                <w:color w:val="392c69"/>
              </w:rPr>
              <w:t xml:space="preserve">, от 11.11.2016 </w:t>
            </w:r>
            <w:hyperlink w:history="0" r:id="rId9"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color w:val="392c69"/>
              </w:rPr>
              <w:t xml:space="preserve">,</w:t>
            </w:r>
          </w:p>
          <w:p>
            <w:pPr>
              <w:pStyle w:val="0"/>
              <w:jc w:val="center"/>
            </w:pPr>
            <w:r>
              <w:rPr>
                <w:sz w:val="24"/>
                <w:color w:val="392c69"/>
              </w:rPr>
              <w:t xml:space="preserve">от 30.03.2017 </w:t>
            </w:r>
            <w:hyperlink w:history="0" r:id="rId10" w:tooltip="Постановление Правительства Амурской области от 30.03.2017 N 148 &quot;О внесении изменения в постановление Правительства Амурской области от 10 августа 2015 г. N 384&quot; {КонсультантПлюс}">
              <w:r>
                <w:rPr>
                  <w:sz w:val="24"/>
                  <w:color w:val="0000ff"/>
                </w:rPr>
                <w:t xml:space="preserve">N 148</w:t>
              </w:r>
            </w:hyperlink>
            <w:r>
              <w:rPr>
                <w:sz w:val="24"/>
                <w:color w:val="392c69"/>
              </w:rPr>
              <w:t xml:space="preserve">, от 22.11.2017 </w:t>
            </w:r>
            <w:hyperlink w:history="0" r:id="rId11" w:tooltip="Постановление Правительства Амурской области от 22.11.2017 N 558 &quot;О внесении изменений в постановление Правительства области от 10 августа 2015 г. N 384&quot; {КонсультантПлюс}">
              <w:r>
                <w:rPr>
                  <w:sz w:val="24"/>
                  <w:color w:val="0000ff"/>
                </w:rPr>
                <w:t xml:space="preserve">N 558</w:t>
              </w:r>
            </w:hyperlink>
            <w:r>
              <w:rPr>
                <w:sz w:val="24"/>
                <w:color w:val="392c69"/>
              </w:rPr>
              <w:t xml:space="preserve">,</w:t>
            </w:r>
          </w:p>
          <w:p>
            <w:pPr>
              <w:pStyle w:val="0"/>
              <w:jc w:val="center"/>
            </w:pPr>
            <w:r>
              <w:rPr>
                <w:sz w:val="24"/>
                <w:color w:val="392c69"/>
              </w:rPr>
              <w:t xml:space="preserve">от 14.12.2017 </w:t>
            </w:r>
            <w:hyperlink w:history="0" r:id="rId12" w:tooltip="Постановление Правительства Амурской области от 14.12.2017 N 597 &quot;О внесении изменения в постановление Правительства Амурской области от 10 августа 2015 г. N 384&quot; {КонсультантПлюс}">
              <w:r>
                <w:rPr>
                  <w:sz w:val="24"/>
                  <w:color w:val="0000ff"/>
                </w:rPr>
                <w:t xml:space="preserve">N 597</w:t>
              </w:r>
            </w:hyperlink>
            <w:r>
              <w:rPr>
                <w:sz w:val="24"/>
                <w:color w:val="392c69"/>
              </w:rPr>
              <w:t xml:space="preserve">, от 05.10.2018 </w:t>
            </w:r>
            <w:hyperlink w:history="0" r:id="rId13"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color w:val="392c69"/>
              </w:rPr>
              <w:t xml:space="preserve">,</w:t>
            </w:r>
          </w:p>
          <w:p>
            <w:pPr>
              <w:pStyle w:val="0"/>
              <w:jc w:val="center"/>
            </w:pPr>
            <w:r>
              <w:rPr>
                <w:sz w:val="24"/>
                <w:color w:val="392c69"/>
              </w:rPr>
              <w:t xml:space="preserve">от 20.12.2019 </w:t>
            </w:r>
            <w:hyperlink w:history="0" r:id="rId14"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color w:val="392c69"/>
              </w:rPr>
              <w:t xml:space="preserve">, от 08.04.2020 </w:t>
            </w:r>
            <w:hyperlink w:history="0" r:id="rId15" w:tooltip="Постановление Правительства Амурской области от 08.04.2020 N 195 &quot;О внесении изменений в постановление Правительства Амурской области от 10 августа 2015 г. N 384&quot; {КонсультантПлюс}">
              <w:r>
                <w:rPr>
                  <w:sz w:val="24"/>
                  <w:color w:val="0000ff"/>
                </w:rPr>
                <w:t xml:space="preserve">N 195</w:t>
              </w:r>
            </w:hyperlink>
            <w:r>
              <w:rPr>
                <w:sz w:val="24"/>
                <w:color w:val="392c69"/>
              </w:rPr>
              <w:t xml:space="preserve">,</w:t>
            </w:r>
          </w:p>
          <w:p>
            <w:pPr>
              <w:pStyle w:val="0"/>
              <w:jc w:val="center"/>
            </w:pPr>
            <w:r>
              <w:rPr>
                <w:sz w:val="24"/>
                <w:color w:val="392c69"/>
              </w:rPr>
              <w:t xml:space="preserve">от 17.04.2020 </w:t>
            </w:r>
            <w:hyperlink w:history="0" r:id="rId16" w:tooltip="Постановление Правительства Амурской области от 17.04.2020 N 235 &quot;О внесении изменений в постановление Правительства Амурской области от 10 августа 2015 г. N 384&quot; {КонсультантПлюс}">
              <w:r>
                <w:rPr>
                  <w:sz w:val="24"/>
                  <w:color w:val="0000ff"/>
                </w:rPr>
                <w:t xml:space="preserve">N 235</w:t>
              </w:r>
            </w:hyperlink>
            <w:r>
              <w:rPr>
                <w:sz w:val="24"/>
                <w:color w:val="392c69"/>
              </w:rPr>
              <w:t xml:space="preserve">, от 08.05.2020 </w:t>
            </w:r>
            <w:hyperlink w:history="0" r:id="rId17" w:tooltip="Постановление Правительства Амурской области от 08.05.2020 N 289 &quot;О внесении изменения в постановление Правительства Амурской области от 10 августа 2015 г. N 384&quot; {КонсультантПлюс}">
              <w:r>
                <w:rPr>
                  <w:sz w:val="24"/>
                  <w:color w:val="0000ff"/>
                </w:rPr>
                <w:t xml:space="preserve">N 289</w:t>
              </w:r>
            </w:hyperlink>
            <w:r>
              <w:rPr>
                <w:sz w:val="24"/>
                <w:color w:val="392c69"/>
              </w:rPr>
              <w:t xml:space="preserve">,</w:t>
            </w:r>
          </w:p>
          <w:p>
            <w:pPr>
              <w:pStyle w:val="0"/>
              <w:jc w:val="center"/>
            </w:pPr>
            <w:r>
              <w:rPr>
                <w:sz w:val="24"/>
                <w:color w:val="392c69"/>
              </w:rPr>
              <w:t xml:space="preserve">от 14.05.2020 </w:t>
            </w:r>
            <w:hyperlink w:history="0" r:id="rId18" w:tooltip="Постановление Правительства Амурской области от 14.05.2020 N 304 &quot;О внесении изменения в постановление Правительства Амурской области от 10 августа 2015 г. N 384&quot; {КонсультантПлюс}">
              <w:r>
                <w:rPr>
                  <w:sz w:val="24"/>
                  <w:color w:val="0000ff"/>
                </w:rPr>
                <w:t xml:space="preserve">N 304</w:t>
              </w:r>
            </w:hyperlink>
            <w:r>
              <w:rPr>
                <w:sz w:val="24"/>
                <w:color w:val="392c69"/>
              </w:rPr>
              <w:t xml:space="preserve">, от 20.10.2020 </w:t>
            </w:r>
            <w:hyperlink w:history="0" r:id="rId19" w:tooltip="Постановление Правительства Амурской области от 20.10.2020 N 715 &quot;О внесении изменений в постановление Правительства Амурской области от 10 августа 2015 г. N 384&quot; {КонсультантПлюс}">
              <w:r>
                <w:rPr>
                  <w:sz w:val="24"/>
                  <w:color w:val="0000ff"/>
                </w:rPr>
                <w:t xml:space="preserve">N 715</w:t>
              </w:r>
            </w:hyperlink>
            <w:r>
              <w:rPr>
                <w:sz w:val="24"/>
                <w:color w:val="392c69"/>
              </w:rPr>
              <w:t xml:space="preserve">,</w:t>
            </w:r>
          </w:p>
          <w:p>
            <w:pPr>
              <w:pStyle w:val="0"/>
              <w:jc w:val="center"/>
            </w:pPr>
            <w:r>
              <w:rPr>
                <w:sz w:val="24"/>
                <w:color w:val="392c69"/>
              </w:rPr>
              <w:t xml:space="preserve">от 23.12.2020 </w:t>
            </w:r>
            <w:hyperlink w:history="0" r:id="rId20"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4"/>
                  <w:color w:val="0000ff"/>
                </w:rPr>
                <w:t xml:space="preserve">N 877</w:t>
              </w:r>
            </w:hyperlink>
            <w:r>
              <w:rPr>
                <w:sz w:val="24"/>
                <w:color w:val="392c69"/>
              </w:rPr>
              <w:t xml:space="preserve">, от 11.02.2021 </w:t>
            </w:r>
            <w:hyperlink w:history="0" r:id="rId21" w:tooltip="Постановление Правительства Амурской области от 11.02.2021 N 73 &quot;О внесении изменения в постановление Правительства области от 10 августа 2015 г. N 384&quot; {КонсультантПлюс}">
              <w:r>
                <w:rPr>
                  <w:sz w:val="24"/>
                  <w:color w:val="0000ff"/>
                </w:rPr>
                <w:t xml:space="preserve">N 73</w:t>
              </w:r>
            </w:hyperlink>
            <w:r>
              <w:rPr>
                <w:sz w:val="24"/>
                <w:color w:val="392c69"/>
              </w:rPr>
              <w:t xml:space="preserve">,</w:t>
            </w:r>
          </w:p>
          <w:p>
            <w:pPr>
              <w:pStyle w:val="0"/>
              <w:jc w:val="center"/>
            </w:pPr>
            <w:r>
              <w:rPr>
                <w:sz w:val="24"/>
                <w:color w:val="392c69"/>
              </w:rPr>
              <w:t xml:space="preserve">от 21.07.2021 </w:t>
            </w:r>
            <w:hyperlink w:history="0" r:id="rId22" w:tooltip="Постановление Правительства Амурской области от 21.07.2021 N 506 &quot;О внесении изменений в постановление Правительства Амурской области от 10 августа 2015 г. N 384&quot; {КонсультантПлюс}">
              <w:r>
                <w:rPr>
                  <w:sz w:val="24"/>
                  <w:color w:val="0000ff"/>
                </w:rPr>
                <w:t xml:space="preserve">N 506</w:t>
              </w:r>
            </w:hyperlink>
            <w:r>
              <w:rPr>
                <w:sz w:val="24"/>
                <w:color w:val="392c69"/>
              </w:rPr>
              <w:t xml:space="preserve">, от 17.12.2021 </w:t>
            </w:r>
            <w:hyperlink w:history="0" r:id="rId23" w:tooltip="Постановление Правительства Амурской области от 17.12.2021 N 1030 &quot;О внесении изменения в постановление Правительства Амурской области от 10 августа 2015 г. N 384&quot; {КонсультантПлюс}">
              <w:r>
                <w:rPr>
                  <w:sz w:val="24"/>
                  <w:color w:val="0000ff"/>
                </w:rPr>
                <w:t xml:space="preserve">N 1030</w:t>
              </w:r>
            </w:hyperlink>
            <w:r>
              <w:rPr>
                <w:sz w:val="24"/>
                <w:color w:val="392c69"/>
              </w:rPr>
              <w:t xml:space="preserve">,</w:t>
            </w:r>
          </w:p>
          <w:p>
            <w:pPr>
              <w:pStyle w:val="0"/>
              <w:jc w:val="center"/>
            </w:pPr>
            <w:r>
              <w:rPr>
                <w:sz w:val="24"/>
                <w:color w:val="392c69"/>
              </w:rPr>
              <w:t xml:space="preserve">от 05.08.2022 </w:t>
            </w:r>
            <w:hyperlink w:history="0" r:id="rId24" w:tooltip="Постановление Правительства Амурской области от 05.08.2022 N 804 &quot;О внесении изменений в постановление Правительства Амурской области от 10 августа 2015 г. N 384&quot; {КонсультантПлюс}">
              <w:r>
                <w:rPr>
                  <w:sz w:val="24"/>
                  <w:color w:val="0000ff"/>
                </w:rPr>
                <w:t xml:space="preserve">N 804</w:t>
              </w:r>
            </w:hyperlink>
            <w:r>
              <w:rPr>
                <w:sz w:val="24"/>
                <w:color w:val="392c69"/>
              </w:rPr>
              <w:t xml:space="preserve">, от 31.03.2023 </w:t>
            </w:r>
            <w:hyperlink w:history="0" r:id="rId25" w:tooltip="Постановление Правительства Амурской области от 31.03.2023 N 304 &quot;О внесении изменений в постановление Правительства Амурской области от 10 августа 2015 г. N 384&quot; {КонсультантПлюс}">
              <w:r>
                <w:rPr>
                  <w:sz w:val="24"/>
                  <w:color w:val="0000ff"/>
                </w:rPr>
                <w:t xml:space="preserve">N 304</w:t>
              </w:r>
            </w:hyperlink>
            <w:r>
              <w:rPr>
                <w:sz w:val="24"/>
                <w:color w:val="392c69"/>
              </w:rPr>
              <w:t xml:space="preserve">,</w:t>
            </w:r>
          </w:p>
          <w:p>
            <w:pPr>
              <w:pStyle w:val="0"/>
              <w:jc w:val="center"/>
            </w:pPr>
            <w:r>
              <w:rPr>
                <w:sz w:val="24"/>
                <w:color w:val="392c69"/>
              </w:rPr>
              <w:t xml:space="preserve">от 28.09.2023 </w:t>
            </w:r>
            <w:hyperlink w:history="0" r:id="rId2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color w:val="392c69"/>
              </w:rPr>
              <w:t xml:space="preserve">, от 28.12.2023 </w:t>
            </w:r>
            <w:hyperlink w:history="0" r:id="rId27"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color w:val="392c69"/>
              </w:rPr>
              <w:t xml:space="preserve">,</w:t>
            </w:r>
          </w:p>
          <w:p>
            <w:pPr>
              <w:pStyle w:val="0"/>
              <w:jc w:val="center"/>
            </w:pPr>
            <w:r>
              <w:rPr>
                <w:sz w:val="24"/>
                <w:color w:val="392c69"/>
              </w:rPr>
              <w:t xml:space="preserve">от 28.06.2024 </w:t>
            </w:r>
            <w:hyperlink w:history="0" r:id="rId28" w:tooltip="Постановление Правительства Амурской области от 28.06.2024 N 513 &quot;О внесении изменений в постановление Правительства Амурской области от 10 августа 2015 г. N 384&quot; {КонсультантПлюс}">
              <w:r>
                <w:rPr>
                  <w:sz w:val="24"/>
                  <w:color w:val="0000ff"/>
                </w:rPr>
                <w:t xml:space="preserve">N 513</w:t>
              </w:r>
            </w:hyperlink>
            <w:r>
              <w:rPr>
                <w:sz w:val="24"/>
                <w:color w:val="392c69"/>
              </w:rPr>
              <w:t xml:space="preserve">, от 26.06.2025 </w:t>
            </w:r>
            <w:hyperlink w:history="0" r:id="rId29" w:tooltip="Постановление Правительства Амурской области от 26.06.2025 N 510 &quot;О внесении изменения в постановление Правительства Амурской области от 10 августа 2015 г. N 384&quot; {КонсультантПлюс}">
              <w:r>
                <w:rPr>
                  <w:sz w:val="24"/>
                  <w:color w:val="0000ff"/>
                </w:rPr>
                <w:t xml:space="preserve">N 510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p>
      <w:pPr>
        <w:pStyle w:val="1"/>
        <w:jc w:val="both"/>
      </w:pPr>
      <w:r>
        <w:rPr>
          <w:sz w:val="20"/>
        </w:rPr>
        <w:t xml:space="preserve">                                                    2                     1</w:t>
      </w:r>
    </w:p>
    <w:p>
      <w:pPr>
        <w:pStyle w:val="1"/>
        <w:jc w:val="both"/>
      </w:pPr>
      <w:r>
        <w:rPr>
          <w:sz w:val="20"/>
        </w:rPr>
        <w:t xml:space="preserve">    В  соответствии  с  </w:t>
      </w:r>
      <w:hyperlink w:history="0" r:id="rId30" w:tooltip="&quot;Бюджетный кодекс Российской Федерации&quot; от 31.07.1998 N 145-ФЗ (ред. от 28.12.2025) {КонсультантПлюс}">
        <w:r>
          <w:rPr>
            <w:sz w:val="20"/>
            <w:color w:val="0000ff"/>
          </w:rPr>
          <w:t xml:space="preserve">пунктами  3</w:t>
        </w:r>
      </w:hyperlink>
      <w:r>
        <w:rPr>
          <w:sz w:val="20"/>
        </w:rPr>
        <w:t xml:space="preserve">  и  </w:t>
      </w:r>
      <w:hyperlink w:history="0" r:id="rId31" w:tooltip="&quot;Бюджетный кодекс Российской Федерации&quot; от 31.07.1998 N 145-ФЗ (ред. от 28.12.2025) {КонсультантПлюс}">
        <w:r>
          <w:rPr>
            <w:sz w:val="20"/>
            <w:color w:val="0000ff"/>
          </w:rPr>
          <w:t xml:space="preserve">4  статьи 69</w:t>
        </w:r>
      </w:hyperlink>
      <w:r>
        <w:rPr>
          <w:sz w:val="20"/>
        </w:rPr>
        <w:t xml:space="preserve"> , </w:t>
      </w:r>
      <w:hyperlink w:history="0" r:id="rId32" w:tooltip="&quot;Бюджетный кодекс Российской Федерации&quot; от 31.07.1998 N 145-ФЗ (ред. от 28.12.2025) {КонсультантПлюс}">
        <w:r>
          <w:rPr>
            <w:sz w:val="20"/>
            <w:color w:val="0000ff"/>
          </w:rPr>
          <w:t xml:space="preserve">пунктом 1 статьи 78</w:t>
        </w:r>
      </w:hyperlink>
    </w:p>
    <w:p>
      <w:pPr>
        <w:pStyle w:val="1"/>
        <w:jc w:val="both"/>
      </w:pPr>
      <w:r>
        <w:rPr>
          <w:sz w:val="20"/>
        </w:rPr>
        <w:t xml:space="preserve">                                                                          2</w:t>
      </w:r>
    </w:p>
    <w:p>
      <w:pPr>
        <w:pStyle w:val="1"/>
        <w:jc w:val="both"/>
      </w:pPr>
      <w:r>
        <w:rPr>
          <w:sz w:val="20"/>
        </w:rPr>
        <w:t xml:space="preserve">Бюджетного  кодекса  Российской  Федерации, </w:t>
      </w:r>
      <w:hyperlink w:history="0" r:id="rId33" w:tooltip="Федеральный закон от 12.01.1996 N 7-ФЗ (ред. от 28.12.2025) &quot;О некоммерческих организациях&quot; ------------ Недействующая редакция {КонсультантПлюс}">
        <w:r>
          <w:rPr>
            <w:sz w:val="20"/>
            <w:color w:val="0000ff"/>
          </w:rPr>
          <w:t xml:space="preserve">подпунктом 2 пункта 7 статьи 9</w:t>
        </w:r>
      </w:hyperlink>
    </w:p>
    <w:p>
      <w:pPr>
        <w:pStyle w:val="1"/>
        <w:jc w:val="both"/>
      </w:pPr>
      <w:r>
        <w:rPr>
          <w:sz w:val="20"/>
        </w:rPr>
        <w:t xml:space="preserve">Федерального  закона  "О  некоммерческих  организациях" и </w:t>
      </w:r>
      <w:hyperlink w:history="0" r:id="rId34" w:tooltip="Федеральный закон от 03.11.2006 N 174-ФЗ (ред. от 24.06.2025, с изм. от 28.11.2025) &quot;Об автономных учреждениях&quot; {КонсультантПлюс}">
        <w:r>
          <w:rPr>
            <w:sz w:val="20"/>
            <w:color w:val="0000ff"/>
          </w:rPr>
          <w:t xml:space="preserve">частью 5 статьи 4</w:t>
        </w:r>
      </w:hyperlink>
    </w:p>
    <w:p>
      <w:pPr>
        <w:pStyle w:val="1"/>
        <w:jc w:val="both"/>
      </w:pPr>
      <w:r>
        <w:rPr>
          <w:sz w:val="20"/>
        </w:rPr>
        <w:t xml:space="preserve">Федерального  закона  "Об  автономных  учреждениях"  Правительство Амурской</w:t>
      </w:r>
    </w:p>
    <w:p>
      <w:pPr>
        <w:pStyle w:val="1"/>
        <w:jc w:val="both"/>
      </w:pPr>
      <w:r>
        <w:rPr>
          <w:sz w:val="20"/>
        </w:rPr>
        <w:t xml:space="preserve">области постановляет:</w:t>
      </w:r>
    </w:p>
    <w:p>
      <w:pPr>
        <w:pStyle w:val="0"/>
        <w:ind w:firstLine="540"/>
        <w:jc w:val="both"/>
      </w:pPr>
      <w:r>
        <w:rPr>
          <w:sz w:val="24"/>
        </w:rPr>
      </w:r>
    </w:p>
    <w:p>
      <w:pPr>
        <w:pStyle w:val="0"/>
        <w:ind w:firstLine="540"/>
        <w:jc w:val="both"/>
      </w:pPr>
      <w:r>
        <w:rPr>
          <w:sz w:val="24"/>
        </w:rPr>
        <w:t xml:space="preserve">1. Утвердить:</w:t>
      </w:r>
    </w:p>
    <w:p>
      <w:pPr>
        <w:pStyle w:val="0"/>
        <w:spacing w:before="240" w:lineRule="auto"/>
        <w:ind w:firstLine="540"/>
        <w:jc w:val="both"/>
      </w:pPr>
      <w:hyperlink w:history="0" w:anchor="P121" w:tooltip="ПОЛОЖЕНИЕ">
        <w:r>
          <w:rPr>
            <w:sz w:val="24"/>
            <w:color w:val="0000ff"/>
          </w:rPr>
          <w:t xml:space="preserve">Положение</w:t>
        </w:r>
      </w:hyperlink>
      <w:r>
        <w:rPr>
          <w:sz w:val="24"/>
        </w:rPr>
        <w:t xml:space="preserve"> о формировании государственного задания на оказание государственных услуг (выполнение работ) в отношении областных государственных учреждений и финансовом обеспечении выполнения государственного задания (далее соответственно - государственное задание, Положение) согласно приложению N 1 к настоящему постановлению;</w:t>
      </w:r>
    </w:p>
    <w:p>
      <w:pPr>
        <w:pStyle w:val="0"/>
        <w:spacing w:before="240" w:lineRule="auto"/>
        <w:ind w:firstLine="540"/>
        <w:jc w:val="both"/>
      </w:pPr>
      <w:hyperlink w:history="0" w:anchor="P1146" w:tooltip="ПОРЯДОК">
        <w:r>
          <w:rPr>
            <w:sz w:val="24"/>
            <w:color w:val="0000ff"/>
          </w:rPr>
          <w:t xml:space="preserve">Порядок</w:t>
        </w:r>
      </w:hyperlink>
      <w:r>
        <w:rPr>
          <w:sz w:val="24"/>
        </w:rPr>
        <w:t xml:space="preserve"> предоставления из областного бюджета субсидий областным бюджетным и автономным учреждениям на финансовое обеспечение выполнения ими государственного задания согласно приложению N 2 к настоящему постановлению;</w:t>
      </w:r>
    </w:p>
    <w:p>
      <w:pPr>
        <w:pStyle w:val="0"/>
        <w:spacing w:before="240" w:lineRule="auto"/>
        <w:ind w:firstLine="540"/>
        <w:jc w:val="both"/>
      </w:pPr>
      <w:r>
        <w:rPr>
          <w:sz w:val="24"/>
        </w:rPr>
        <w:t xml:space="preserve">Абзац утратил силу с 1 января 2021 года. - Постановление Правительства Амурской области от 23.12.2020 </w:t>
      </w:r>
      <w:hyperlink w:history="0" r:id="rId35"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4"/>
            <w:color w:val="0000ff"/>
          </w:rPr>
          <w:t xml:space="preserve">N 877</w:t>
        </w:r>
      </w:hyperlink>
      <w:r>
        <w:rPr>
          <w:sz w:val="24"/>
        </w:rPr>
        <w:t xml:space="preserve">.</w:t>
      </w:r>
    </w:p>
    <w:p>
      <w:pPr>
        <w:pStyle w:val="0"/>
        <w:ind w:firstLine="540"/>
        <w:jc w:val="both"/>
      </w:pPr>
      <w:r>
        <w:rPr>
          <w:sz w:val="24"/>
        </w:rPr>
      </w:r>
    </w:p>
    <w:p>
      <w:pPr>
        <w:pStyle w:val="1"/>
        <w:jc w:val="both"/>
      </w:pPr>
      <w:r>
        <w:rPr>
          <w:sz w:val="20"/>
        </w:rPr>
        <w:t xml:space="preserve">     1</w:t>
      </w:r>
    </w:p>
    <w:p>
      <w:pPr>
        <w:pStyle w:val="1"/>
        <w:jc w:val="both"/>
      </w:pPr>
      <w:r>
        <w:rPr>
          <w:sz w:val="20"/>
        </w:rPr>
        <w:t xml:space="preserve">    1  .  Органам  исполнительной  власти  Амурской области, осуществляющим</w:t>
      </w:r>
    </w:p>
    <w:p>
      <w:pPr>
        <w:pStyle w:val="1"/>
        <w:jc w:val="both"/>
      </w:pPr>
      <w:r>
        <w:rPr>
          <w:sz w:val="20"/>
        </w:rPr>
        <w:t xml:space="preserve">функции  и  полномочия  учредителя  в  отношении  находящихся  в их ведении</w:t>
      </w:r>
    </w:p>
    <w:p>
      <w:pPr>
        <w:pStyle w:val="1"/>
        <w:jc w:val="both"/>
      </w:pPr>
      <w:r>
        <w:rPr>
          <w:sz w:val="20"/>
        </w:rPr>
        <w:t xml:space="preserve">областных  бюджетных  и  автономных  учреждений,  обеспечить  разработку  и</w:t>
      </w:r>
    </w:p>
    <w:p>
      <w:pPr>
        <w:pStyle w:val="1"/>
        <w:jc w:val="both"/>
      </w:pPr>
      <w:r>
        <w:rPr>
          <w:sz w:val="20"/>
        </w:rPr>
        <w:t xml:space="preserve">принятие  нормативных  правовых  актов, устанавливающих порядок определения</w:t>
      </w:r>
    </w:p>
    <w:p>
      <w:pPr>
        <w:pStyle w:val="1"/>
        <w:jc w:val="both"/>
      </w:pPr>
      <w:r>
        <w:rPr>
          <w:sz w:val="20"/>
        </w:rPr>
        <w:t xml:space="preserve">объема   и   условия   предоставления   областным  бюджетным  и  автономным</w:t>
      </w:r>
    </w:p>
    <w:p>
      <w:pPr>
        <w:pStyle w:val="1"/>
        <w:jc w:val="both"/>
      </w:pPr>
      <w:r>
        <w:rPr>
          <w:sz w:val="20"/>
        </w:rPr>
        <w:t xml:space="preserve">учреждениям  субсидий  на иные цели из областного бюджета, в соответствии с</w:t>
      </w:r>
    </w:p>
    <w:p>
      <w:pPr>
        <w:pStyle w:val="1"/>
        <w:jc w:val="both"/>
      </w:pPr>
      <w:r>
        <w:rPr>
          <w:sz w:val="20"/>
        </w:rPr>
        <w:t xml:space="preserve">общими  </w:t>
      </w:r>
      <w:hyperlink w:history="0" r:id="rId36" w:tooltip="Постановление Правительства РФ от 22.02.2020 N 203 (ред. от 11.09.2024) &quot;Об общих требованиях к нормативным правовым актам и муниципальным правовым актам, устанавливающим порядок определения объема и условия предоставления бюджетным и автономным учреждениям субсидий на иные цели&quot; {КонсультантПлюс}">
        <w:r>
          <w:rPr>
            <w:sz w:val="20"/>
            <w:color w:val="0000ff"/>
          </w:rPr>
          <w:t xml:space="preserve">требованиями</w:t>
        </w:r>
      </w:hyperlink>
      <w:r>
        <w:rPr>
          <w:sz w:val="20"/>
        </w:rPr>
        <w:t xml:space="preserve">  к нормативным правовым актам и муниципальным правовым</w:t>
      </w:r>
    </w:p>
    <w:p>
      <w:pPr>
        <w:pStyle w:val="1"/>
        <w:jc w:val="both"/>
      </w:pPr>
      <w:r>
        <w:rPr>
          <w:sz w:val="20"/>
        </w:rPr>
        <w:t xml:space="preserve">актам,  устанавливающим порядок определения объема и условия предоставления</w:t>
      </w:r>
    </w:p>
    <w:p>
      <w:pPr>
        <w:pStyle w:val="1"/>
        <w:jc w:val="both"/>
      </w:pPr>
      <w:r>
        <w:rPr>
          <w:sz w:val="20"/>
        </w:rPr>
        <w:t xml:space="preserve">бюджетным  и  автономным  учреждениям  субсидий на иные цели, утвержденными</w:t>
      </w:r>
    </w:p>
    <w:p>
      <w:pPr>
        <w:pStyle w:val="1"/>
        <w:jc w:val="both"/>
      </w:pPr>
      <w:r>
        <w:rPr>
          <w:sz w:val="20"/>
        </w:rPr>
        <w:t xml:space="preserve">постановлением  Правительства  Российской  Федерации  от 22 февраля 2020 г.</w:t>
      </w:r>
    </w:p>
    <w:p>
      <w:pPr>
        <w:pStyle w:val="1"/>
        <w:jc w:val="both"/>
      </w:pPr>
      <w:r>
        <w:rPr>
          <w:sz w:val="20"/>
        </w:rPr>
        <w:t xml:space="preserve">N  203,  в отношении указанных субсидий, предоставляемых начиная с 1 января</w:t>
      </w:r>
    </w:p>
    <w:p>
      <w:pPr>
        <w:pStyle w:val="1"/>
        <w:jc w:val="both"/>
      </w:pPr>
      <w:r>
        <w:rPr>
          <w:sz w:val="20"/>
        </w:rPr>
        <w:t xml:space="preserve">2021  года  по  согласованию  с  министерством финансов Амурской области на</w:t>
      </w:r>
    </w:p>
    <w:p>
      <w:pPr>
        <w:pStyle w:val="1"/>
        <w:jc w:val="both"/>
      </w:pPr>
      <w:r>
        <w:rPr>
          <w:sz w:val="20"/>
        </w:rPr>
        <w:t xml:space="preserve">предмет цели их предоставления.</w:t>
      </w:r>
    </w:p>
    <w:p>
      <w:pPr>
        <w:pStyle w:val="1"/>
        <w:jc w:val="both"/>
      </w:pPr>
      <w:r>
        <w:rPr>
          <w:sz w:val="20"/>
        </w:rPr>
        <w:t xml:space="preserve">(в ред. постановлений Правительства Амурской области  от 21.07.2021  </w:t>
      </w:r>
      <w:hyperlink w:history="0" r:id="rId37" w:tooltip="Постановление Правительства Амурской области от 21.07.2021 N 506 &quot;О внесении изменений в постановление Правительства Амурской области от 10 августа 2015 г. N 384&quot; {КонсультантПлюс}">
        <w:r>
          <w:rPr>
            <w:sz w:val="20"/>
            <w:color w:val="0000ff"/>
          </w:rPr>
          <w:t xml:space="preserve">N 506</w:t>
        </w:r>
      </w:hyperlink>
      <w:r>
        <w:rPr>
          <w:sz w:val="20"/>
        </w:rPr>
        <w:t xml:space="preserve">,</w:t>
      </w:r>
    </w:p>
    <w:p>
      <w:pPr>
        <w:pStyle w:val="1"/>
        <w:jc w:val="both"/>
      </w:pPr>
      <w:r>
        <w:rPr>
          <w:sz w:val="20"/>
        </w:rPr>
        <w:t xml:space="preserve">от 28.09.2023 </w:t>
      </w:r>
      <w:hyperlink w:history="0" r:id="rId3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0"/>
            <w:color w:val="0000ff"/>
          </w:rPr>
          <w:t xml:space="preserve">N 811</w:t>
        </w:r>
      </w:hyperlink>
      <w:r>
        <w:rPr>
          <w:sz w:val="20"/>
        </w:rPr>
        <w:t xml:space="preserve">)</w:t>
      </w:r>
    </w:p>
    <w:p>
      <w:pPr>
        <w:pStyle w:val="1"/>
        <w:jc w:val="both"/>
      </w:pPr>
      <w:r>
        <w:rPr>
          <w:sz w:val="20"/>
        </w:rPr>
        <w:t xml:space="preserve">     2</w:t>
      </w:r>
    </w:p>
    <w:bookmarkStart w:id="57" w:name="P57"/>
    <w:bookmarkEnd w:id="57"/>
    <w:p>
      <w:pPr>
        <w:pStyle w:val="1"/>
        <w:jc w:val="both"/>
      </w:pPr>
      <w:r>
        <w:rPr>
          <w:sz w:val="20"/>
        </w:rPr>
        <w:t xml:space="preserve">    1  .  Органам  исполнительной  власти  Амурской области, осуществляющим</w:t>
      </w:r>
    </w:p>
    <w:p>
      <w:pPr>
        <w:pStyle w:val="1"/>
        <w:jc w:val="both"/>
      </w:pPr>
      <w:r>
        <w:rPr>
          <w:sz w:val="20"/>
        </w:rPr>
        <w:t xml:space="preserve">функции  и  полномочия  учредителя  в  отношении  находящихся  в их ведении</w:t>
      </w:r>
    </w:p>
    <w:p>
      <w:pPr>
        <w:pStyle w:val="1"/>
        <w:jc w:val="both"/>
      </w:pPr>
      <w:r>
        <w:rPr>
          <w:sz w:val="20"/>
        </w:rPr>
        <w:t xml:space="preserve">областных  бюджетных  и  автономных  учреждений,  обеспечить  разработку  и</w:t>
      </w:r>
    </w:p>
    <w:p>
      <w:pPr>
        <w:pStyle w:val="1"/>
        <w:jc w:val="both"/>
      </w:pPr>
      <w:r>
        <w:rPr>
          <w:sz w:val="20"/>
        </w:rPr>
        <w:t xml:space="preserve">принятие   нормативных   правовых  актов  Правительства  Амурской  области,</w:t>
      </w:r>
    </w:p>
    <w:p>
      <w:pPr>
        <w:pStyle w:val="1"/>
        <w:jc w:val="both"/>
      </w:pPr>
      <w:r>
        <w:rPr>
          <w:sz w:val="20"/>
        </w:rPr>
        <w:t xml:space="preserve">устанавливающих   порядок   определения  объема  и  условия  предоставления</w:t>
      </w:r>
    </w:p>
    <w:p>
      <w:pPr>
        <w:pStyle w:val="1"/>
        <w:jc w:val="both"/>
      </w:pPr>
      <w:r>
        <w:rPr>
          <w:sz w:val="20"/>
        </w:rPr>
        <w:t xml:space="preserve">областным   бюджетным  и  автономным  учреждениям,  находящимся  в  ведении</w:t>
      </w:r>
    </w:p>
    <w:p>
      <w:pPr>
        <w:pStyle w:val="1"/>
        <w:jc w:val="both"/>
      </w:pPr>
      <w:r>
        <w:rPr>
          <w:sz w:val="20"/>
        </w:rPr>
        <w:t xml:space="preserve">соответствующего органа исполнительной власти Амурской области, субсидий на</w:t>
      </w:r>
    </w:p>
    <w:p>
      <w:pPr>
        <w:pStyle w:val="1"/>
        <w:jc w:val="both"/>
      </w:pPr>
      <w:r>
        <w:rPr>
          <w:sz w:val="20"/>
        </w:rPr>
        <w:t xml:space="preserve">иные  цели  из  областного  бюджета, в соответствии с общими </w:t>
      </w:r>
      <w:hyperlink w:history="0" r:id="rId39" w:tooltip="Постановление Правительства РФ от 22.02.2020 N 203 (ред. от 11.09.2024) &quot;Об общих требованиях к нормативным правовым актам и муниципальным правовым актам, устанавливающим порядок определения объема и условия предоставления бюджетным и автономным учреждениям субсидий на иные цели&quot; {КонсультантПлюс}">
        <w:r>
          <w:rPr>
            <w:sz w:val="20"/>
            <w:color w:val="0000ff"/>
          </w:rPr>
          <w:t xml:space="preserve">требованиями</w:t>
        </w:r>
      </w:hyperlink>
      <w:r>
        <w:rPr>
          <w:sz w:val="20"/>
        </w:rPr>
        <w:t xml:space="preserve"> к</w:t>
      </w:r>
    </w:p>
    <w:p>
      <w:pPr>
        <w:pStyle w:val="1"/>
        <w:jc w:val="both"/>
      </w:pPr>
      <w:r>
        <w:rPr>
          <w:sz w:val="20"/>
        </w:rPr>
        <w:t xml:space="preserve">нормативным  правовым актам и муниципальным правовым актам, устанавливающим</w:t>
      </w:r>
    </w:p>
    <w:p>
      <w:pPr>
        <w:pStyle w:val="1"/>
        <w:jc w:val="both"/>
      </w:pPr>
      <w:r>
        <w:rPr>
          <w:sz w:val="20"/>
        </w:rPr>
        <w:t xml:space="preserve">порядок  определения объема и условия предоставления бюджетным и автономным</w:t>
      </w:r>
    </w:p>
    <w:p>
      <w:pPr>
        <w:pStyle w:val="1"/>
        <w:jc w:val="both"/>
      </w:pPr>
      <w:r>
        <w:rPr>
          <w:sz w:val="20"/>
        </w:rPr>
        <w:t xml:space="preserve">учреждениям   субсидий   на   иные   цели,   утвержденными   постановлением</w:t>
      </w:r>
    </w:p>
    <w:p>
      <w:pPr>
        <w:pStyle w:val="1"/>
        <w:jc w:val="both"/>
      </w:pPr>
      <w:r>
        <w:rPr>
          <w:sz w:val="20"/>
        </w:rPr>
        <w:t xml:space="preserve">Правительства Российской Федерации от 22 февраля 2020 г. N 203, в отношении</w:t>
      </w:r>
    </w:p>
    <w:p>
      <w:pPr>
        <w:pStyle w:val="1"/>
        <w:jc w:val="both"/>
      </w:pPr>
      <w:r>
        <w:rPr>
          <w:sz w:val="20"/>
        </w:rPr>
        <w:t xml:space="preserve">указанных субсидий, предоставляемых начиная с 1 января 2022 года.</w:t>
      </w:r>
    </w:p>
    <w:p>
      <w:pPr>
        <w:pStyle w:val="1"/>
        <w:jc w:val="both"/>
      </w:pPr>
      <w:r>
        <w:rPr>
          <w:sz w:val="20"/>
        </w:rPr>
        <w:t xml:space="preserve">     2</w:t>
      </w:r>
    </w:p>
    <w:p>
      <w:pPr>
        <w:pStyle w:val="1"/>
        <w:jc w:val="both"/>
      </w:pPr>
      <w:r>
        <w:rPr>
          <w:sz w:val="20"/>
        </w:rPr>
        <w:t xml:space="preserve">(п. 1  в  ред.  постановления  Правительства Амурской области от 28.09.2023</w:t>
      </w:r>
    </w:p>
    <w:p>
      <w:pPr>
        <w:pStyle w:val="1"/>
        <w:jc w:val="both"/>
      </w:pPr>
      <w:hyperlink w:history="0" r:id="rId40"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0"/>
            <w:color w:val="0000ff"/>
          </w:rPr>
          <w:t xml:space="preserve">N 811</w:t>
        </w:r>
      </w:hyperlink>
      <w:r>
        <w:rPr>
          <w:sz w:val="20"/>
        </w:rPr>
        <w:t xml:space="preserve">)</w:t>
      </w:r>
    </w:p>
    <w:p>
      <w:pPr>
        <w:pStyle w:val="1"/>
        <w:jc w:val="both"/>
      </w:pPr>
      <w:r>
        <w:rPr>
          <w:sz w:val="20"/>
        </w:rPr>
        <w:t xml:space="preserve">     3</w:t>
      </w:r>
    </w:p>
    <w:p>
      <w:pPr>
        <w:pStyle w:val="1"/>
        <w:jc w:val="both"/>
      </w:pPr>
      <w:r>
        <w:rPr>
          <w:sz w:val="20"/>
        </w:rPr>
        <w:t xml:space="preserve">    1 . Министерству финансов Амурской области (Артемьева В.Е.) в срок до 1</w:t>
      </w:r>
    </w:p>
    <w:p>
      <w:pPr>
        <w:pStyle w:val="1"/>
        <w:jc w:val="both"/>
      </w:pPr>
      <w:r>
        <w:rPr>
          <w:sz w:val="20"/>
        </w:rPr>
        <w:t xml:space="preserve">января  2021  года  утвердить  типовую форму соглашения о предоставлении из</w:t>
      </w:r>
    </w:p>
    <w:p>
      <w:pPr>
        <w:pStyle w:val="1"/>
        <w:jc w:val="both"/>
      </w:pPr>
      <w:r>
        <w:rPr>
          <w:sz w:val="20"/>
        </w:rPr>
        <w:t xml:space="preserve">областного бюджета субсидий областным бюджетным и автономным учреждениям на</w:t>
      </w:r>
    </w:p>
    <w:p>
      <w:pPr>
        <w:pStyle w:val="1"/>
        <w:jc w:val="both"/>
      </w:pPr>
      <w:r>
        <w:rPr>
          <w:sz w:val="20"/>
        </w:rPr>
        <w:t xml:space="preserve">иные цели.</w:t>
      </w:r>
    </w:p>
    <w:p>
      <w:pPr>
        <w:pStyle w:val="1"/>
        <w:jc w:val="both"/>
      </w:pPr>
      <w:r>
        <w:rPr>
          <w:sz w:val="20"/>
        </w:rPr>
        <w:t xml:space="preserve">     3</w:t>
      </w:r>
    </w:p>
    <w:p>
      <w:pPr>
        <w:pStyle w:val="1"/>
        <w:jc w:val="both"/>
      </w:pPr>
      <w:r>
        <w:rPr>
          <w:sz w:val="20"/>
        </w:rPr>
        <w:t xml:space="preserve">(п. 1  введен  постановлением  Правительства Амурской области от 23.12.2020</w:t>
      </w:r>
    </w:p>
    <w:p>
      <w:pPr>
        <w:pStyle w:val="1"/>
        <w:jc w:val="both"/>
      </w:pPr>
      <w:hyperlink w:history="0" r:id="rId41"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0"/>
            <w:color w:val="0000ff"/>
          </w:rPr>
          <w:t xml:space="preserve">N 877</w:t>
        </w:r>
      </w:hyperlink>
      <w:r>
        <w:rPr>
          <w:sz w:val="20"/>
        </w:rPr>
        <w:t xml:space="preserve">)</w:t>
      </w:r>
    </w:p>
    <w:p>
      <w:pPr>
        <w:pStyle w:val="0"/>
        <w:ind w:firstLine="540"/>
        <w:jc w:val="both"/>
      </w:pPr>
      <w:r>
        <w:rPr>
          <w:sz w:val="24"/>
        </w:rPr>
      </w:r>
    </w:p>
    <w:p>
      <w:pPr>
        <w:pStyle w:val="0"/>
        <w:ind w:firstLine="540"/>
        <w:jc w:val="both"/>
      </w:pPr>
      <w:r>
        <w:rPr>
          <w:sz w:val="24"/>
        </w:rPr>
        <w:t xml:space="preserve">1.4. Установить, что органы исполнительной власти Амурской области вправе предоставлять из областного бюджета бюджетным и автономным учреждениям вне зависимости от подведомственности и уровня публично-правового образования, создавшего соответствующее учреждение, субсидии на иные цели, в том числе на возмещение затрат, а также недополученных доходов в связи с производством (реализацией) товаров, выполнением работ, оказанием услуг по ценам (тарифам), подлежащим в соответствии с законодательством Российской Федерации государственному регулированию, в порядке, предусмотренном </w:t>
      </w:r>
      <w:hyperlink w:history="0" w:anchor="P57" w:tooltip="    1  .  Органам  исполнительной  власти  Амурской области, осуществляющим">
        <w:r>
          <w:rPr>
            <w:sz w:val="24"/>
            <w:color w:val="0000ff"/>
          </w:rPr>
          <w:t xml:space="preserve">пунктом 1.2</w:t>
        </w:r>
      </w:hyperlink>
      <w:r>
        <w:rPr>
          <w:sz w:val="24"/>
        </w:rPr>
        <w:t xml:space="preserve"> настоящего постановления.</w:t>
      </w:r>
    </w:p>
    <w:p>
      <w:pPr>
        <w:pStyle w:val="0"/>
        <w:jc w:val="both"/>
      </w:pPr>
      <w:r>
        <w:rPr>
          <w:sz w:val="24"/>
        </w:rPr>
        <w:t xml:space="preserve">(п. 1.4 введен постановлением Правительства Амурской области от 26.06.2025 </w:t>
      </w:r>
      <w:hyperlink w:history="0" r:id="rId42" w:tooltip="Постановление Правительства Амурской области от 26.06.2025 N 510 &quot;О внесении изменения в постановление Правительства Амурской области от 10 августа 2015 г. N 384&quot; {КонсультантПлюс}">
        <w:r>
          <w:rPr>
            <w:sz w:val="24"/>
            <w:color w:val="0000ff"/>
          </w:rPr>
          <w:t xml:space="preserve">N 510</w:t>
        </w:r>
      </w:hyperlink>
      <w:r>
        <w:rPr>
          <w:sz w:val="24"/>
        </w:rPr>
        <w:t xml:space="preserve">)</w:t>
      </w:r>
    </w:p>
    <w:p>
      <w:pPr>
        <w:pStyle w:val="0"/>
        <w:spacing w:before="240" w:lineRule="auto"/>
        <w:ind w:firstLine="540"/>
        <w:jc w:val="both"/>
      </w:pPr>
      <w:r>
        <w:rPr>
          <w:sz w:val="24"/>
        </w:rPr>
        <w:t xml:space="preserve">2. Признать утратившими силу постановления Правительства Амурской области от 19 июня 2009 г. </w:t>
      </w:r>
      <w:hyperlink w:history="0" r:id="rId43" w:tooltip="Постановление Правительства Амурской области от 19.06.2009 N 280 (ред. от 30.03.2015) &quot;Об условиях и порядке формирования государственного задания в отношении автономного учреждения, созданного на базе имущества, находящегося в областной собственности, и порядке финансового обеспечения выполнения государственного задания&quot; (вместе с &quot;Положением о формировании государственного задания в отношении автономного учреждения, созданного на базе имущества, находящегося в областной собственности, и порядке финансовог ------------ Утратил силу или отменен {КонсультантПлюс}">
        <w:r>
          <w:rPr>
            <w:sz w:val="24"/>
            <w:color w:val="0000ff"/>
          </w:rPr>
          <w:t xml:space="preserve">N 280</w:t>
        </w:r>
      </w:hyperlink>
      <w:r>
        <w:rPr>
          <w:sz w:val="24"/>
        </w:rPr>
        <w:t xml:space="preserve">, от 2 декабря 2010 г. </w:t>
      </w:r>
      <w:hyperlink w:history="0" r:id="rId44" w:tooltip="Постановление Правительства Амурской области от 02.12.2010 N 674 (ред. от 30.03.2015) &quot;О порядке формирования государственного задания в отношении государственных учреждений области и финансового обеспечения выполнения государственного задания&quot; (вместе с &quot;Положением о формировании государственного задания в отношении государственных учреждений области и финансовом обеспечении выполнения государственного задания&quot;) ------------ Утратил силу или отменен {КонсультантПлюс}">
        <w:r>
          <w:rPr>
            <w:sz w:val="24"/>
            <w:color w:val="0000ff"/>
          </w:rPr>
          <w:t xml:space="preserve">N 674</w:t>
        </w:r>
      </w:hyperlink>
      <w:r>
        <w:rPr>
          <w:sz w:val="24"/>
        </w:rPr>
        <w:t xml:space="preserve">, от 16 февраля 2011 г. </w:t>
      </w:r>
      <w:hyperlink w:history="0" r:id="rId45" w:tooltip="Постановление Правительства Амурской области от 16.02.2011 N 76 (ред. от 21.05.2012) &quot;О Порядке определения объема и условий предоставления субсидий из областного бюджета областным бюджетным и автономным учреждениям на возмещение нормативных затрат, связанных с оказанием ими в соответствии с государственным заданием государственных услуг (выполнением работ), а также субсидий на иные цели&quot; ------------ Утратил силу или отменен {КонсультантПлюс}">
        <w:r>
          <w:rPr>
            <w:sz w:val="24"/>
            <w:color w:val="0000ff"/>
          </w:rPr>
          <w:t xml:space="preserve">N 76</w:t>
        </w:r>
      </w:hyperlink>
      <w:r>
        <w:rPr>
          <w:sz w:val="24"/>
        </w:rPr>
        <w:t xml:space="preserve">, от 15 июля 2011 г. </w:t>
      </w:r>
      <w:hyperlink w:history="0" r:id="rId46" w:tooltip="Постановление Правительства Амурской области от 15.07.2011 N 472 &quot;О внесении изменений в постановление Правительства области от 16 февраля 2011 г. N 76&quot; ------------ Утратил силу или отменен {КонсультантПлюс}">
        <w:r>
          <w:rPr>
            <w:sz w:val="24"/>
            <w:color w:val="0000ff"/>
          </w:rPr>
          <w:t xml:space="preserve">N 472</w:t>
        </w:r>
      </w:hyperlink>
      <w:r>
        <w:rPr>
          <w:sz w:val="24"/>
        </w:rPr>
        <w:t xml:space="preserve">, от 15 июля 2011 г. </w:t>
      </w:r>
      <w:hyperlink w:history="0" r:id="rId47" w:tooltip="Постановление Правительства Амурской области от 15.07.2011 N 473 &quot;О внесении изменений в постановление Правительства Амурской области от 2 декабря 2010 г. N 674&quot; ------------ Утратил силу или отменен {КонсультантПлюс}">
        <w:r>
          <w:rPr>
            <w:sz w:val="24"/>
            <w:color w:val="0000ff"/>
          </w:rPr>
          <w:t xml:space="preserve">N 473</w:t>
        </w:r>
      </w:hyperlink>
      <w:r>
        <w:rPr>
          <w:sz w:val="24"/>
        </w:rPr>
        <w:t xml:space="preserve">, от 1 марта 2012 г. </w:t>
      </w:r>
      <w:hyperlink w:history="0" r:id="rId48" w:tooltip="Постановление Правительства Амурской области от 01.03.2012 N 85 &quot;О внесении изменений в постановление Правительства Амурской области от 2 декабря 2010 г. N 674&quot; ------------ Утратил силу или отменен {КонсультантПлюс}">
        <w:r>
          <w:rPr>
            <w:sz w:val="24"/>
            <w:color w:val="0000ff"/>
          </w:rPr>
          <w:t xml:space="preserve">N 85</w:t>
        </w:r>
      </w:hyperlink>
      <w:r>
        <w:rPr>
          <w:sz w:val="24"/>
        </w:rPr>
        <w:t xml:space="preserve">, от 21 мая 2012 г. </w:t>
      </w:r>
      <w:hyperlink w:history="0" r:id="rId49" w:tooltip="Постановление Правительства Амурской области от 21.05.2012 N 273 &quot;О внесении изменений в постановление Правительства области от 16 февраля 2011 г. N 76&quot; ------------ Утратил силу или отменен {КонсультантПлюс}">
        <w:r>
          <w:rPr>
            <w:sz w:val="24"/>
            <w:color w:val="0000ff"/>
          </w:rPr>
          <w:t xml:space="preserve">N 273</w:t>
        </w:r>
      </w:hyperlink>
      <w:r>
        <w:rPr>
          <w:sz w:val="24"/>
        </w:rPr>
        <w:t xml:space="preserve">, от 30 марта 2015 г. </w:t>
      </w:r>
      <w:hyperlink w:history="0" r:id="rId50" w:tooltip="Постановление Правительства Амурской области от 30.03.2015 N 130 &quot;О внесении изменений в некоторые акты Правительства Амурской области&quot; ------------ Утратил силу или отменен {КонсультантПлюс}">
        <w:r>
          <w:rPr>
            <w:sz w:val="24"/>
            <w:color w:val="0000ff"/>
          </w:rPr>
          <w:t xml:space="preserve">N 130</w:t>
        </w:r>
      </w:hyperlink>
      <w:r>
        <w:rPr>
          <w:sz w:val="24"/>
        </w:rPr>
        <w:t xml:space="preserve">.</w:t>
      </w:r>
    </w:p>
    <w:p>
      <w:pPr>
        <w:pStyle w:val="0"/>
        <w:spacing w:before="240" w:lineRule="auto"/>
        <w:ind w:firstLine="540"/>
        <w:jc w:val="both"/>
      </w:pPr>
      <w:r>
        <w:rPr>
          <w:sz w:val="24"/>
        </w:rPr>
        <w:t xml:space="preserve">3. Настоящее постановление вступает в силу с 1 января 2016 года.</w:t>
      </w:r>
    </w:p>
    <w:bookmarkStart w:id="86" w:name="P86"/>
    <w:bookmarkEnd w:id="86"/>
    <w:p>
      <w:pPr>
        <w:pStyle w:val="0"/>
        <w:spacing w:before="240" w:lineRule="auto"/>
        <w:ind w:firstLine="540"/>
        <w:jc w:val="both"/>
      </w:pPr>
      <w:r>
        <w:rPr>
          <w:sz w:val="24"/>
        </w:rPr>
        <w:t xml:space="preserve">4. Действие </w:t>
      </w:r>
      <w:hyperlink w:history="0" w:anchor="P187" w:tooltip="10. Объем финансового обеспечения выполнения государственного задания рассчитывается на основании нормативных затрат на оказание государственных услуг, нормативных затрат, связанных с выполнением работ, с учетом затрат на содержание недвижимого имущества и особо ценного движимого имущества, используемого областным государственным учреждением при выполнении государственного задания (далее - имущество учреждения), затрат на уплату налогов, в качестве объекта налогообложения по которым признается имущество ...">
        <w:r>
          <w:rPr>
            <w:sz w:val="24"/>
            <w:color w:val="0000ff"/>
          </w:rPr>
          <w:t xml:space="preserve">пункта 10</w:t>
        </w:r>
      </w:hyperlink>
      <w:r>
        <w:rPr>
          <w:sz w:val="24"/>
        </w:rPr>
        <w:t xml:space="preserve"> (за исключением нормативных затрат, связанных с выполнением работ в рамках государственного задания),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пункта 11</w:t>
        </w:r>
      </w:hyperlink>
      <w:r>
        <w:rPr>
          <w:sz w:val="24"/>
        </w:rPr>
        <w:t xml:space="preserve"> (за выполнением работ в рамках государственного задания),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пункта 11</w:t>
        </w:r>
      </w:hyperlink>
      <w:r>
        <w:rPr>
          <w:sz w:val="24"/>
        </w:rPr>
        <w:t xml:space="preserve"> (за исключением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абзаца второго</w:t>
        </w:r>
      </w:hyperlink>
      <w:r>
        <w:rPr>
          <w:sz w:val="24"/>
        </w:rPr>
        <w:t xml:space="preserve"> в части нормативных затрат, связанных с выполнением работ в рамках государственного задания, и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абзаца шестого</w:t>
        </w:r>
      </w:hyperlink>
      <w:r>
        <w:rPr>
          <w:sz w:val="24"/>
        </w:rPr>
        <w:t xml:space="preserve">), </w:t>
      </w:r>
      <w:hyperlink w:history="0" w:anchor="P204" w:tooltip="12. Нормативные затраты на оказание государственной услуги рассчитываются на единицу показателя объема оказания услуги, установленного в государственном задании, на основе определяемых в соответствии с настоящим Положением базового норматива затрат и корректирующих коэффициентов к базовым нормативам затрат (далее - корректирующие коэффициенты), с соблюдением общих требований к определению нормативных затрат на оказание государственных (муниципальных) услуг, применяемых при расчете объема финансового обес...">
        <w:r>
          <w:rPr>
            <w:sz w:val="24"/>
            <w:color w:val="0000ff"/>
          </w:rPr>
          <w:t xml:space="preserve">пунктов 12</w:t>
        </w:r>
      </w:hyperlink>
      <w:r>
        <w:rPr>
          <w:sz w:val="24"/>
        </w:rPr>
        <w:t xml:space="preserve"> - </w:t>
      </w:r>
      <w:hyperlink w:history="0" w:anchor="P217" w:tooltip="17. В базовый норматив затрат, непосредственно связанных с оказанием государственной услуги, включаются:">
        <w:r>
          <w:rPr>
            <w:sz w:val="24"/>
            <w:color w:val="0000ff"/>
          </w:rPr>
          <w:t xml:space="preserve">17</w:t>
        </w:r>
      </w:hyperlink>
      <w:r>
        <w:rPr>
          <w:sz w:val="24"/>
        </w:rPr>
        <w:t xml:space="preserve">, </w:t>
      </w:r>
      <w:hyperlink w:history="0" w:anchor="P227" w:tooltip="18. В базовый норматив затрат на общехозяйственные нужды на оказание государственной услуги включаются:">
        <w:r>
          <w:rPr>
            <w:sz w:val="24"/>
            <w:color w:val="0000ff"/>
          </w:rPr>
          <w:t xml:space="preserve">пункта 18</w:t>
        </w:r>
      </w:hyperlink>
      <w:r>
        <w:rPr>
          <w:sz w:val="24"/>
        </w:rPr>
        <w:t xml:space="preserve"> (за исключением </w:t>
      </w:r>
      <w:hyperlink w:history="0" w:anchor="P234" w:tooltip="г) утратил силу. - Постановление Правительства Амурской области от 28.09.2023 N 811;">
        <w:r>
          <w:rPr>
            <w:sz w:val="24"/>
            <w:color w:val="0000ff"/>
          </w:rPr>
          <w:t xml:space="preserve">подпункта "г"</w:t>
        </w:r>
      </w:hyperlink>
      <w:r>
        <w:rPr>
          <w:sz w:val="24"/>
        </w:rPr>
        <w:t xml:space="preserve">), </w:t>
      </w:r>
      <w:hyperlink w:history="0" w:anchor="P240" w:tooltip="19. В затраты, указанные в подпунктах &quot;а&quot; - &quot;в&quot; пункта 18 настоящего Положения, включаются затраты на оказание государственной услуги в отношении имущества учреждения, используемого в том числе на основании договора аренды (финансовой аренды) или договора безвозмездного пользования, для выполнения государственного задания и общехозяйственных нужд (далее - имущество, необходимое для выполнения государственного задания).">
        <w:r>
          <w:rPr>
            <w:sz w:val="24"/>
            <w:color w:val="0000ff"/>
          </w:rPr>
          <w:t xml:space="preserve">пунктов 19</w:t>
        </w:r>
      </w:hyperlink>
      <w:r>
        <w:rPr>
          <w:sz w:val="24"/>
        </w:rPr>
        <w:t xml:space="preserve"> - </w:t>
      </w:r>
      <w:hyperlink w:history="0" w:anchor="P263" w:tooltip="24. Значения базовых нормативов затрат на оказание государственных услуг и отраслевых корректирующих коэффициентов подлежат размещению в информационной системе &quot;Портал Правительства Амурской области в сети Интернет&quot;.">
        <w:r>
          <w:rPr>
            <w:sz w:val="24"/>
            <w:color w:val="0000ff"/>
          </w:rPr>
          <w:t xml:space="preserve">24</w:t>
        </w:r>
      </w:hyperlink>
      <w:r>
        <w:rPr>
          <w:sz w:val="24"/>
        </w:rPr>
        <w:t xml:space="preserve">, </w:t>
      </w:r>
      <w:hyperlink w:history="0" w:anchor="P298" w:tooltip="30. В объем финансового обеспечения выполнения государственного задания включаются затраты на уплату налогов, в качестве объекта налогообложения по которым признается имущество учреждения.">
        <w:r>
          <w:rPr>
            <w:sz w:val="24"/>
            <w:color w:val="0000ff"/>
          </w:rPr>
          <w:t xml:space="preserve">30</w:t>
        </w:r>
      </w:hyperlink>
      <w:r>
        <w:rPr>
          <w:sz w:val="24"/>
        </w:rPr>
        <w:t xml:space="preserve"> - </w:t>
      </w:r>
      <w:hyperlink w:history="0" w:anchor="P305" w:tooltip="35. Нормативные затраты (затраты), определяемые в соответствии с настоящим Положением, учитываются при формировании обоснований бюджетных ассигнований областного бюджета на очередной финансовый год и плановый период.">
        <w:r>
          <w:rPr>
            <w:sz w:val="24"/>
            <w:color w:val="0000ff"/>
          </w:rPr>
          <w:t xml:space="preserve">35</w:t>
        </w:r>
      </w:hyperlink>
      <w:r>
        <w:rPr>
          <w:sz w:val="24"/>
        </w:rPr>
        <w:t xml:space="preserve"> Положения и </w:t>
      </w:r>
      <w:hyperlink w:history="0" w:anchor="P402" w:tooltip="Государственное задание N">
        <w:r>
          <w:rPr>
            <w:sz w:val="24"/>
            <w:color w:val="0000ff"/>
          </w:rPr>
          <w:t xml:space="preserve">приложения N 1</w:t>
        </w:r>
      </w:hyperlink>
      <w:r>
        <w:rPr>
          <w:sz w:val="24"/>
        </w:rPr>
        <w:t xml:space="preserve"> к Положению распространяется на правоотношения, возникшие при формировании государственного задания и расчете объема финансового обеспечения выполнения государственного задания начиная с государственного задания на 2016 год и на плановый период 2017 и 2018 годов.</w:t>
      </w:r>
    </w:p>
    <w:p>
      <w:pPr>
        <w:pStyle w:val="0"/>
        <w:jc w:val="both"/>
      </w:pPr>
      <w:r>
        <w:rPr>
          <w:sz w:val="24"/>
        </w:rPr>
        <w:t xml:space="preserve">(в ред. постановления Правительства Амурской области от 11.11.2016 </w:t>
      </w:r>
      <w:hyperlink w:history="0" r:id="rId51"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5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в п. 5 внесены изменения, которые </w:t>
            </w:r>
            <w:hyperlink w:history="0" r:id="rId5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9" w:name="P89"/>
    <w:bookmarkEnd w:id="89"/>
    <w:p>
      <w:pPr>
        <w:pStyle w:val="0"/>
        <w:spacing w:before="300" w:lineRule="auto"/>
        <w:ind w:firstLine="540"/>
        <w:jc w:val="both"/>
      </w:pPr>
      <w:r>
        <w:rPr>
          <w:sz w:val="24"/>
        </w:rPr>
        <w:t xml:space="preserve">5. </w:t>
      </w:r>
      <w:hyperlink w:history="0" w:anchor="P187" w:tooltip="10. Объем финансового обеспечения выполнения государственного задания рассчитывается на основании нормативных затрат на оказание государственных услуг, нормативных затрат, связанных с выполнением работ, с учетом затрат на содержание недвижимого имущества и особо ценного движимого имущества, используемого областным государственным учреждением при выполнении государственного задания (далее - имущество учреждения), затрат на уплату налогов, в качестве объекта налогообложения по которым признается имущество ...">
        <w:r>
          <w:rPr>
            <w:sz w:val="24"/>
            <w:color w:val="0000ff"/>
          </w:rPr>
          <w:t xml:space="preserve">Пункт 10</w:t>
        </w:r>
      </w:hyperlink>
      <w:r>
        <w:rPr>
          <w:sz w:val="24"/>
        </w:rPr>
        <w:t xml:space="preserve">,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абзацы второй</w:t>
        </w:r>
      </w:hyperlink>
      <w:r>
        <w:rPr>
          <w:sz w:val="24"/>
        </w:rPr>
        <w:t xml:space="preserve"> и </w:t>
      </w:r>
      <w:hyperlink w:history="0" w:anchor="P190" w:tooltip="11. Объем финансового обеспечения выполнения государственного задания (R) определяется по формуле:">
        <w:r>
          <w:rPr>
            <w:sz w:val="24"/>
            <w:color w:val="0000ff"/>
          </w:rPr>
          <w:t xml:space="preserve">шестой пункта 11</w:t>
        </w:r>
      </w:hyperlink>
      <w:r>
        <w:rPr>
          <w:sz w:val="24"/>
        </w:rPr>
        <w:t xml:space="preserve"> Положения в части нормативных затрат, связанных с выполнением работ в рамках государственного задания, </w:t>
      </w:r>
      <w:hyperlink w:history="0" w:anchor="P265" w:tooltip="25. Нормативные затраты на выполнение работы определяются при расчете объема финансового обеспечения выполнения государственного задания в порядке, установленном органом, осуществляющим функции и полномочия учредителя в отношении областных бюджетных или автономных учреждений, а также по решению главного распорядителя средств областного бюджета, в ведении которого находятся областные казенные учреждения.">
        <w:r>
          <w:rPr>
            <w:sz w:val="24"/>
            <w:color w:val="0000ff"/>
          </w:rPr>
          <w:t xml:space="preserve">пункты 25</w:t>
        </w:r>
      </w:hyperlink>
      <w:r>
        <w:rPr>
          <w:sz w:val="24"/>
        </w:rPr>
        <w:t xml:space="preserve"> - </w:t>
      </w:r>
      <w:hyperlink w:history="0" w:anchor="P296" w:tooltip="29. Значения нормативных затрат на выполнение работы утверждаются органом, осуществляющим функции и полномочия учредителя в отношении областных бюджетных или автономных учреждений, а также главным распорядителем средств областного бюджета, в ведении которого находятся областные казенные учреждения (в случае принятия им решения о применении нормативных затрат при расчете объема финансового обеспечения выполнения государственного задания).">
        <w:r>
          <w:rPr>
            <w:sz w:val="24"/>
            <w:color w:val="0000ff"/>
          </w:rPr>
          <w:t xml:space="preserve">29</w:t>
        </w:r>
      </w:hyperlink>
      <w:r>
        <w:rPr>
          <w:sz w:val="24"/>
        </w:rPr>
        <w:t xml:space="preserve"> Положения применяются при расчете объема финансового обеспечения выполнения государственного задания начиная с государственного задания на 2017 год и на плановый период 2018 и 2019 годов.</w:t>
      </w:r>
    </w:p>
    <w:p>
      <w:pPr>
        <w:pStyle w:val="0"/>
        <w:jc w:val="both"/>
      </w:pPr>
      <w:r>
        <w:rPr>
          <w:sz w:val="24"/>
        </w:rPr>
        <w:t xml:space="preserve">(в ред. постановления Правительства Амурской области от 28.09.2023 </w:t>
      </w:r>
      <w:hyperlink w:history="0" r:id="rId54"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55"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п. 6 признан утратившим силу, данное изменение </w:t>
            </w:r>
            <w:hyperlink w:history="0" r:id="rId56"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6. Утратил силу. - Постановление Правительства Амурской области от 20.12.2019 </w:t>
      </w:r>
      <w:hyperlink w:history="0" r:id="rId57"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ind w:firstLine="540"/>
        <w:jc w:val="both"/>
      </w:pPr>
      <w:r>
        <w:rPr>
          <w:sz w:val="24"/>
        </w:rPr>
      </w:r>
    </w:p>
    <w:p>
      <w:pPr>
        <w:pStyle w:val="1"/>
        <w:jc w:val="both"/>
      </w:pPr>
      <w:r>
        <w:rPr>
          <w:sz w:val="20"/>
        </w:rPr>
        <w:t xml:space="preserve">    7.  До принятия нормативных правовых актов, предусмотренных </w:t>
      </w:r>
      <w:hyperlink w:history="0" w:anchor="P214" w:tooltip="16. При определении базового норматива затрат в части затрат, указанных в пункте 17 настоящего Положения, применяются нормы материальных, технических и трудовых ресурсов, используемых для оказания государственной услуги, установленные нормативными правовыми актами Российской Федерации, Амурской области, межгосударственными, национальными (государственными) стандартами Российской Федерации, строительными нормами и правилами, санитарными нормами и правилами, стандартами, порядками, регламентами и паспортам...">
        <w:r>
          <w:rPr>
            <w:sz w:val="20"/>
            <w:color w:val="0000ff"/>
          </w:rPr>
          <w:t xml:space="preserve">пунктами 16</w:t>
        </w:r>
      </w:hyperlink>
    </w:p>
    <w:p>
      <w:pPr>
        <w:pStyle w:val="1"/>
        <w:jc w:val="both"/>
      </w:pPr>
      <w:r>
        <w:rPr>
          <w:sz w:val="20"/>
        </w:rPr>
        <w:t xml:space="preserve">и  </w:t>
      </w:r>
      <w:hyperlink w:history="0" w:anchor="P293" w:tooltip="28. При определении нормативных затрат на выполнение работы применяются показатели материальных, технических и трудовых ресурсов, используемых для выполнения работ, по видам затрат исходя из нормативов их потребления, установленных нормативными правовыми актами Российской Федерации, Амурской области, межгосударственными, национальными (государственными) стандартами Российской Федерации, строительными нормами и правилами, санитарными нормами и правилами, стандартами, порядками, регламентами и паспортами в...">
        <w:r>
          <w:rPr>
            <w:sz w:val="20"/>
            <w:color w:val="0000ff"/>
          </w:rPr>
          <w:t xml:space="preserve">28</w:t>
        </w:r>
      </w:hyperlink>
      <w:r>
        <w:rPr>
          <w:sz w:val="20"/>
        </w:rPr>
        <w:t xml:space="preserve">  Положения, но не позднее срока формирования государственного задания</w:t>
      </w:r>
    </w:p>
    <w:p>
      <w:pPr>
        <w:pStyle w:val="1"/>
        <w:jc w:val="both"/>
      </w:pPr>
      <w:r>
        <w:rPr>
          <w:sz w:val="20"/>
        </w:rPr>
        <w:t xml:space="preserve">на 2019 год и на плановый период 2020 и 2021 годов нормы затрат, выраженные</w:t>
      </w:r>
    </w:p>
    <w:p>
      <w:pPr>
        <w:pStyle w:val="1"/>
        <w:jc w:val="both"/>
      </w:pPr>
      <w:r>
        <w:rPr>
          <w:sz w:val="20"/>
        </w:rPr>
        <w:t xml:space="preserve">в  натуральных показателях, определяются с указанием наименования нормы, ее</w:t>
      </w:r>
    </w:p>
    <w:p>
      <w:pPr>
        <w:pStyle w:val="1"/>
        <w:jc w:val="both"/>
      </w:pPr>
      <w:r>
        <w:rPr>
          <w:sz w:val="20"/>
        </w:rPr>
        <w:t xml:space="preserve">значения   и   источника   указанного  значения  в  порядке,  установленном</w:t>
      </w:r>
    </w:p>
    <w:p>
      <w:pPr>
        <w:pStyle w:val="1"/>
        <w:jc w:val="both"/>
      </w:pPr>
      <w:r>
        <w:rPr>
          <w:sz w:val="20"/>
        </w:rPr>
        <w:t xml:space="preserve">федеральным   органом  исполнительной  власти,  осуществляющим  функции  по</w:t>
      </w:r>
    </w:p>
    <w:p>
      <w:pPr>
        <w:pStyle w:val="1"/>
        <w:jc w:val="both"/>
      </w:pPr>
      <w:r>
        <w:rPr>
          <w:sz w:val="20"/>
        </w:rPr>
        <w:t xml:space="preserve">выработке  государственной  политики и нормативно-правовому регулированию в</w:t>
      </w:r>
    </w:p>
    <w:p>
      <w:pPr>
        <w:pStyle w:val="1"/>
        <w:jc w:val="both"/>
      </w:pPr>
      <w:r>
        <w:rPr>
          <w:sz w:val="20"/>
        </w:rPr>
        <w:t xml:space="preserve">соответствующей  сфере,  при  определении общих требований, предусмотренных</w:t>
      </w:r>
    </w:p>
    <w:p>
      <w:pPr>
        <w:pStyle w:val="1"/>
        <w:jc w:val="both"/>
      </w:pPr>
      <w:r>
        <w:rPr>
          <w:sz w:val="20"/>
        </w:rPr>
        <w:t xml:space="preserve">                                 2</w:t>
      </w:r>
    </w:p>
    <w:p>
      <w:pPr>
        <w:pStyle w:val="1"/>
        <w:jc w:val="both"/>
      </w:pPr>
      <w:hyperlink w:history="0" r:id="rId58" w:tooltip="&quot;Бюджетный кодекс Российской Федерации&quot; от 31.07.1998 N 145-ФЗ (ред. от 28.12.2025) {КонсультантПлюс}">
        <w:r>
          <w:rPr>
            <w:sz w:val="20"/>
            <w:color w:val="0000ff"/>
          </w:rPr>
          <w:t xml:space="preserve">абзацем вторым пункта 4 статьи 69</w:t>
        </w:r>
      </w:hyperlink>
      <w:r>
        <w:rPr>
          <w:sz w:val="20"/>
        </w:rPr>
        <w:t xml:space="preserve">  Бюджетного кодекса Российской Федерации.</w:t>
      </w:r>
    </w:p>
    <w:p>
      <w:pPr>
        <w:pStyle w:val="0"/>
        <w:ind w:firstLine="540"/>
        <w:jc w:val="both"/>
      </w:pPr>
      <w:r>
        <w:rPr>
          <w:sz w:val="24"/>
        </w:rPr>
      </w:r>
    </w:p>
    <w:p>
      <w:pPr>
        <w:pStyle w:val="0"/>
        <w:ind w:firstLine="540"/>
        <w:jc w:val="both"/>
      </w:pPr>
      <w:r>
        <w:rPr>
          <w:sz w:val="24"/>
        </w:rPr>
        <w:t xml:space="preserve">8. При формировании государственного задания в период до начала срока формирования государственного задания на 2018 год и на плановый период 2019 и 2020 годов по решению исполнительного органа государственной власти области, осуществляющего функции по выработке государственной политики и нормативно-правовому регулированию в установленной сфере деятельности, значение базового норматива затрат на оказание государственной услуги и значение отраслевого корректирующего коэффициента к базовому нормативу затрат на оказание государственной услуги определяются исполнительным органом государственной власти области, осуществляющим функции и полномочия учредителя областного бюджетного или автономного учреждения.</w:t>
      </w:r>
    </w:p>
    <w:p>
      <w:pPr>
        <w:pStyle w:val="0"/>
        <w:ind w:firstLine="540"/>
        <w:jc w:val="both"/>
      </w:pPr>
      <w:r>
        <w:rPr>
          <w:sz w:val="24"/>
        </w:rPr>
      </w:r>
    </w:p>
    <w:p>
      <w:pPr>
        <w:pStyle w:val="0"/>
        <w:jc w:val="right"/>
      </w:pPr>
      <w:r>
        <w:rPr>
          <w:sz w:val="24"/>
        </w:rPr>
        <w:t xml:space="preserve">Временно исполняющий обязанности</w:t>
      </w:r>
    </w:p>
    <w:p>
      <w:pPr>
        <w:pStyle w:val="0"/>
        <w:jc w:val="right"/>
      </w:pPr>
      <w:r>
        <w:rPr>
          <w:sz w:val="24"/>
        </w:rPr>
        <w:t xml:space="preserve">губернатора Амурской области</w:t>
      </w:r>
    </w:p>
    <w:p>
      <w:pPr>
        <w:pStyle w:val="0"/>
        <w:jc w:val="right"/>
      </w:pPr>
      <w:r>
        <w:rPr>
          <w:sz w:val="24"/>
        </w:rPr>
        <w:t xml:space="preserve">А.А.КОЗЛОВ</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0"/>
        <w:jc w:val="right"/>
      </w:pPr>
      <w:r>
        <w:rPr>
          <w:sz w:val="24"/>
        </w:rPr>
        <w:t xml:space="preserve">Приложение N 1</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10 августа 2015 г. N 384</w:t>
      </w:r>
    </w:p>
    <w:p>
      <w:pPr>
        <w:pStyle w:val="0"/>
        <w:ind w:firstLine="540"/>
        <w:jc w:val="both"/>
      </w:pPr>
      <w:r>
        <w:rPr>
          <w:sz w:val="24"/>
        </w:rPr>
      </w:r>
    </w:p>
    <w:bookmarkStart w:id="121" w:name="P121"/>
    <w:bookmarkEnd w:id="121"/>
    <w:p>
      <w:pPr>
        <w:pStyle w:val="2"/>
        <w:jc w:val="center"/>
      </w:pPr>
      <w:r>
        <w:rPr>
          <w:sz w:val="24"/>
        </w:rPr>
        <w:t xml:space="preserve">ПОЛОЖЕНИЕ</w:t>
      </w:r>
    </w:p>
    <w:p>
      <w:pPr>
        <w:pStyle w:val="2"/>
        <w:jc w:val="center"/>
      </w:pPr>
      <w:r>
        <w:rPr>
          <w:sz w:val="24"/>
        </w:rPr>
        <w:t xml:space="preserve">О ФОРМИРОВАНИИ ГОСУДАРСТВЕННОГО ЗАДАНИЯ НА ОКАЗАНИЕ</w:t>
      </w:r>
    </w:p>
    <w:p>
      <w:pPr>
        <w:pStyle w:val="2"/>
        <w:jc w:val="center"/>
      </w:pPr>
      <w:r>
        <w:rPr>
          <w:sz w:val="24"/>
        </w:rPr>
        <w:t xml:space="preserve">ГОСУДАРСТВЕННЫХ УСЛУГ (ВЫПОЛНЕНИЕ РАБОТ) В ОТНОШЕНИИ</w:t>
      </w:r>
    </w:p>
    <w:p>
      <w:pPr>
        <w:pStyle w:val="2"/>
        <w:jc w:val="center"/>
      </w:pPr>
      <w:r>
        <w:rPr>
          <w:sz w:val="24"/>
        </w:rPr>
        <w:t xml:space="preserve">ОБЛАСТНЫХ ГОСУДАРСТВЕННЫХ УЧРЕЖДЕНИЙ И ФИНАНСОВОМ</w:t>
      </w:r>
    </w:p>
    <w:p>
      <w:pPr>
        <w:pStyle w:val="2"/>
        <w:jc w:val="center"/>
      </w:pPr>
      <w:r>
        <w:rPr>
          <w:sz w:val="24"/>
        </w:rPr>
        <w:t xml:space="preserve">ОБЕСПЕЧЕНИИ ВЫПОЛНЕНИЯ ГОСУДАРСТВЕННОГО ЗАДАНИЯ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08.04.2016 </w:t>
            </w:r>
            <w:hyperlink w:history="0" r:id="rId59" w:tooltip="Постановление Правительства Амурской области от 08.04.2016 N 119 &quot;О внесении изменений в постановление Правительства Амурской области от 10 августа 2015 г. N 384&quot; {КонсультантПлюс}">
              <w:r>
                <w:rPr>
                  <w:sz w:val="24"/>
                  <w:color w:val="0000ff"/>
                </w:rPr>
                <w:t xml:space="preserve">N 119</w:t>
              </w:r>
            </w:hyperlink>
            <w:r>
              <w:rPr>
                <w:sz w:val="24"/>
                <w:color w:val="392c69"/>
              </w:rPr>
              <w:t xml:space="preserve">, от 11.11.2016 </w:t>
            </w:r>
            <w:hyperlink w:history="0" r:id="rId60"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color w:val="392c69"/>
              </w:rPr>
              <w:t xml:space="preserve">,</w:t>
            </w:r>
          </w:p>
          <w:p>
            <w:pPr>
              <w:pStyle w:val="0"/>
              <w:jc w:val="center"/>
            </w:pPr>
            <w:r>
              <w:rPr>
                <w:sz w:val="24"/>
                <w:color w:val="392c69"/>
              </w:rPr>
              <w:t xml:space="preserve">от 22.11.2017 </w:t>
            </w:r>
            <w:hyperlink w:history="0" r:id="rId61" w:tooltip="Постановление Правительства Амурской области от 22.11.2017 N 558 &quot;О внесении изменений в постановление Правительства области от 10 августа 2015 г. N 384&quot; {КонсультантПлюс}">
              <w:r>
                <w:rPr>
                  <w:sz w:val="24"/>
                  <w:color w:val="0000ff"/>
                </w:rPr>
                <w:t xml:space="preserve">N 558</w:t>
              </w:r>
            </w:hyperlink>
            <w:r>
              <w:rPr>
                <w:sz w:val="24"/>
                <w:color w:val="392c69"/>
              </w:rPr>
              <w:t xml:space="preserve">, от 05.10.2018 </w:t>
            </w:r>
            <w:hyperlink w:history="0" r:id="rId62"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color w:val="392c69"/>
              </w:rPr>
              <w:t xml:space="preserve">,</w:t>
            </w:r>
          </w:p>
          <w:p>
            <w:pPr>
              <w:pStyle w:val="0"/>
              <w:jc w:val="center"/>
            </w:pPr>
            <w:r>
              <w:rPr>
                <w:sz w:val="24"/>
                <w:color w:val="392c69"/>
              </w:rPr>
              <w:t xml:space="preserve">от 20.12.2019 </w:t>
            </w:r>
            <w:hyperlink w:history="0" r:id="rId63"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color w:val="392c69"/>
              </w:rPr>
              <w:t xml:space="preserve">, от 08.05.2020 </w:t>
            </w:r>
            <w:hyperlink w:history="0" r:id="rId64" w:tooltip="Постановление Правительства Амурской области от 08.05.2020 N 289 &quot;О внесении изменения в постановление Правительства Амурской области от 10 августа 2015 г. N 384&quot; {КонсультантПлюс}">
              <w:r>
                <w:rPr>
                  <w:sz w:val="24"/>
                  <w:color w:val="0000ff"/>
                </w:rPr>
                <w:t xml:space="preserve">N 289</w:t>
              </w:r>
            </w:hyperlink>
            <w:r>
              <w:rPr>
                <w:sz w:val="24"/>
                <w:color w:val="392c69"/>
              </w:rPr>
              <w:t xml:space="preserve">,</w:t>
            </w:r>
          </w:p>
          <w:p>
            <w:pPr>
              <w:pStyle w:val="0"/>
              <w:jc w:val="center"/>
            </w:pPr>
            <w:r>
              <w:rPr>
                <w:sz w:val="24"/>
                <w:color w:val="392c69"/>
              </w:rPr>
              <w:t xml:space="preserve">от 23.12.2020 </w:t>
            </w:r>
            <w:hyperlink w:history="0" r:id="rId65"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4"/>
                  <w:color w:val="0000ff"/>
                </w:rPr>
                <w:t xml:space="preserve">N 877</w:t>
              </w:r>
            </w:hyperlink>
            <w:r>
              <w:rPr>
                <w:sz w:val="24"/>
                <w:color w:val="392c69"/>
              </w:rPr>
              <w:t xml:space="preserve">, от 17.12.2021 </w:t>
            </w:r>
            <w:hyperlink w:history="0" r:id="rId66" w:tooltip="Постановление Правительства Амурской области от 17.12.2021 N 1030 &quot;О внесении изменения в постановление Правительства Амурской области от 10 августа 2015 г. N 384&quot; {КонсультантПлюс}">
              <w:r>
                <w:rPr>
                  <w:sz w:val="24"/>
                  <w:color w:val="0000ff"/>
                </w:rPr>
                <w:t xml:space="preserve">N 1030</w:t>
              </w:r>
            </w:hyperlink>
            <w:r>
              <w:rPr>
                <w:sz w:val="24"/>
                <w:color w:val="392c69"/>
              </w:rPr>
              <w:t xml:space="preserve">,</w:t>
            </w:r>
          </w:p>
          <w:p>
            <w:pPr>
              <w:pStyle w:val="0"/>
              <w:jc w:val="center"/>
            </w:pPr>
            <w:r>
              <w:rPr>
                <w:sz w:val="24"/>
                <w:color w:val="392c69"/>
              </w:rPr>
              <w:t xml:space="preserve">от 31.03.2023 </w:t>
            </w:r>
            <w:hyperlink w:history="0" r:id="rId67" w:tooltip="Постановление Правительства Амурской области от 31.03.2023 N 304 &quot;О внесении изменений в постановление Правительства Амурской области от 10 августа 2015 г. N 384&quot; {КонсультантПлюс}">
              <w:r>
                <w:rPr>
                  <w:sz w:val="24"/>
                  <w:color w:val="0000ff"/>
                </w:rPr>
                <w:t xml:space="preserve">N 304</w:t>
              </w:r>
            </w:hyperlink>
            <w:r>
              <w:rPr>
                <w:sz w:val="24"/>
                <w:color w:val="392c69"/>
              </w:rPr>
              <w:t xml:space="preserve">, от 28.09.2023 </w:t>
            </w:r>
            <w:hyperlink w:history="0" r:id="rId6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color w:val="392c69"/>
              </w:rPr>
              <w:t xml:space="preserve">,</w:t>
            </w:r>
          </w:p>
          <w:p>
            <w:pPr>
              <w:pStyle w:val="0"/>
              <w:jc w:val="center"/>
            </w:pPr>
            <w:r>
              <w:rPr>
                <w:sz w:val="24"/>
                <w:color w:val="392c69"/>
              </w:rPr>
              <w:t xml:space="preserve">от 28.12.2023 </w:t>
            </w:r>
            <w:hyperlink w:history="0" r:id="rId69"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color w:val="392c69"/>
              </w:rPr>
              <w:t xml:space="preserve">, от 28.06.2024 </w:t>
            </w:r>
            <w:hyperlink w:history="0" r:id="rId70" w:tooltip="Постановление Правительства Амурской области от 28.06.2024 N 513 &quot;О внесении изменений в постановление Правительства Амурской области от 10 августа 2015 г. N 384&quot; {КонсультантПлюс}">
              <w:r>
                <w:rPr>
                  <w:sz w:val="24"/>
                  <w:color w:val="0000ff"/>
                </w:rPr>
                <w:t xml:space="preserve">N 513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p>
      <w:pPr>
        <w:pStyle w:val="0"/>
        <w:ind w:firstLine="540"/>
        <w:jc w:val="both"/>
      </w:pPr>
      <w:r>
        <w:rPr>
          <w:sz w:val="24"/>
        </w:rPr>
        <w:t xml:space="preserve">1. Настоящее Положение устанавливает порядок формирования и финансового обеспечения выполнения государственного задания на оказание государственных услуг (выполнение работ) (далее - государственное задание) областными бюджетными учреждениями, автономными учреждениями, созданными на базе имущества, находящегося в областной собственности (далее - областные автономные учреждения), а также областными казенными учреждениями, определенными правовыми актами главных распорядителей средств областного бюджета, в ведении которых находятся областные казенные учреждения (далее - областные казенные учреждения).</w:t>
      </w:r>
    </w:p>
    <w:p>
      <w:pPr>
        <w:pStyle w:val="0"/>
        <w:ind w:firstLine="540"/>
        <w:jc w:val="both"/>
      </w:pPr>
      <w:r>
        <w:rPr>
          <w:sz w:val="24"/>
        </w:rPr>
      </w:r>
    </w:p>
    <w:p>
      <w:pPr>
        <w:pStyle w:val="2"/>
        <w:outlineLvl w:val="1"/>
        <w:jc w:val="center"/>
      </w:pPr>
      <w:r>
        <w:rPr>
          <w:sz w:val="24"/>
        </w:rPr>
        <w:t xml:space="preserve">I. Формирование (изменение) государственного задания</w:t>
      </w:r>
    </w:p>
    <w:p>
      <w:pPr>
        <w:pStyle w:val="0"/>
        <w:ind w:firstLine="540"/>
        <w:jc w:val="both"/>
      </w:pPr>
      <w:r>
        <w:rPr>
          <w:sz w:val="24"/>
        </w:rPr>
      </w:r>
    </w:p>
    <w:p>
      <w:pPr>
        <w:pStyle w:val="0"/>
        <w:ind w:firstLine="540"/>
        <w:jc w:val="both"/>
      </w:pPr>
      <w:r>
        <w:rPr>
          <w:sz w:val="24"/>
        </w:rPr>
        <w:t xml:space="preserve">2. Государственное задание формируется в соответствии с основными видами деятельности, предусмотренными учредительными документами областного государственного учреждения, с учетом предложений областного государственного учреждения, касающихся потребности в соответствующих услугах и работах, оцениваемых на основании прогнозируемой динамики количества потребителей услуг и работ, уровня удовлетворенности существующими объемом и качеством услуг и результатов работ и возможностей областного государственного учреждения по оказанию услуг и выполнению работ, а также показателей выполнения областным государственным учреждением государственного задания в отчетном финансовом году.</w:t>
      </w:r>
    </w:p>
    <w:p>
      <w:pPr>
        <w:pStyle w:val="0"/>
        <w:spacing w:before="240" w:lineRule="auto"/>
        <w:ind w:firstLine="540"/>
        <w:jc w:val="both"/>
      </w:pPr>
      <w:r>
        <w:rPr>
          <w:sz w:val="24"/>
        </w:rPr>
        <w:t xml:space="preserve">3. Государственное задание содержит показатели, характеризующие качество и (или) объем (содержание) государственной услуги (работы), определение категорий физических и (или) юридических лиц, являющихся потребителями соответствующих услуг, предельные цены (тарифы) на оплату соответствующих услуг физическими или юридическими лицами в случаях, если законодательством Российской Федерации предусмотрено их оказание на платной основе, либо порядок установления указанных цен (тарифов) в случаях, установленных законодательством Российской Федерации, порядок контроля за исполнением государственного задания и требования к отчетности о выполнении государственного задания.</w:t>
      </w:r>
    </w:p>
    <w:p>
      <w:pPr>
        <w:pStyle w:val="0"/>
        <w:spacing w:before="240" w:lineRule="auto"/>
        <w:ind w:firstLine="540"/>
        <w:jc w:val="both"/>
      </w:pPr>
      <w:r>
        <w:rPr>
          <w:sz w:val="24"/>
        </w:rPr>
        <w:t xml:space="preserve">Значение объемов государственных услуг для образовательных организаций среднего профессионального образования устанавливается на плановый период на уровне очередного финансового года и корректируется ежегодно в соответствии с методикой формирования государственного задания на оказание образовательных услуг в сфере среднего профессионального образования на очередной финансовый год и плановый период, утверждаемой Министерством образования и науки Российской Федерации, с учетом результатов ежегодного конкурса распределения контрольных цифр приема граждан и численности обучающихся, определенной за год (среднегодовой контингент).</w:t>
      </w:r>
    </w:p>
    <w:p>
      <w:pPr>
        <w:pStyle w:val="0"/>
        <w:spacing w:before="240" w:lineRule="auto"/>
        <w:ind w:firstLine="540"/>
        <w:jc w:val="both"/>
      </w:pPr>
      <w:r>
        <w:rPr>
          <w:sz w:val="24"/>
        </w:rPr>
        <w:t xml:space="preserve">Государственное </w:t>
      </w:r>
      <w:hyperlink w:history="0" w:anchor="P402" w:tooltip="Государственное задание N">
        <w:r>
          <w:rPr>
            <w:sz w:val="24"/>
            <w:color w:val="0000ff"/>
          </w:rPr>
          <w:t xml:space="preserve">задание</w:t>
        </w:r>
      </w:hyperlink>
      <w:r>
        <w:rPr>
          <w:sz w:val="24"/>
        </w:rPr>
        <w:t xml:space="preserve"> формируется согласно приложению N 1 к настоящему Положению.</w:t>
      </w:r>
    </w:p>
    <w:p>
      <w:pPr>
        <w:pStyle w:val="0"/>
        <w:spacing w:before="240" w:lineRule="auto"/>
        <w:ind w:firstLine="540"/>
        <w:jc w:val="both"/>
      </w:pPr>
      <w:r>
        <w:rPr>
          <w:sz w:val="24"/>
        </w:rPr>
        <w:t xml:space="preserve">При установлении областному государственному учреждению государственного задания на оказание нескольких государственных услуг (выполнение нескольких работ) государственное задание формируется из нескольких разделов, каждый из которых содержит требования к оказанию одной государственной услуги (выполнению одной работы).</w:t>
      </w:r>
    </w:p>
    <w:p>
      <w:pPr>
        <w:pStyle w:val="0"/>
        <w:spacing w:before="240" w:lineRule="auto"/>
        <w:ind w:firstLine="540"/>
        <w:jc w:val="both"/>
      </w:pPr>
      <w:r>
        <w:rPr>
          <w:sz w:val="24"/>
        </w:rPr>
        <w:t xml:space="preserve">При установлении областному государственному учреждению государственного задания на оказание государственной услуги (услуг) и выполнение работы (работ) государственное задание формируется из 2 частей, каждая из которых должна содержать отдельно требования к оказанию государственной услуги (услуг) и выполнению работы (работ). Информация, касающаяся государственного задания в целом, включается в 3 часть государственного задания.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7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абз. шестой п. 3 внесены изменения, которые </w:t>
            </w:r>
            <w:hyperlink w:history="0" r:id="rId72"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В государственном задании могут быть установлены допустимые (возможные) отклонения в процентах (абсолютных величинах) от установленных значений показателей качества и (или) объема, но не более 5 процентов, если иное не установлено федеральным законом, в отношении отдельной государственной услуги (работы) либо общее допустимое (возможное) отклонение - в отношении государственного задания или его части. Значения указанных показателей, устанавливаемые на текущий финансовый год, могут быть изменены только при формировании государственного задания на очередной финансовый год.</w:t>
      </w:r>
    </w:p>
    <w:p>
      <w:pPr>
        <w:pStyle w:val="0"/>
        <w:jc w:val="both"/>
      </w:pPr>
      <w:r>
        <w:rPr>
          <w:sz w:val="24"/>
        </w:rPr>
        <w:t xml:space="preserve">(абзац введен постановлением Правительства Амурской области от 11.11.2016 </w:t>
      </w:r>
      <w:hyperlink w:history="0" r:id="rId73"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 в ред. постановлений Правительства Амурской области от 05.10.2018 </w:t>
      </w:r>
      <w:hyperlink w:history="0" r:id="rId74"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rPr>
        <w:t xml:space="preserve">, от 20.12.2019 </w:t>
      </w:r>
      <w:hyperlink w:history="0" r:id="rId75"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Государственное задание, сформированное для областных государственных учреждений на 2020 год, не признается невыполненным в случае недостижения (превышения допустимого (возможного) отклонения) показателей государственного задания, характеризующих объем оказываемых государственных услуг (выполняемых работ), а также показателей государственного задания, характеризующих качество оказываемых государственных услуг (выполняемых работ), если такие показатели установлены в государственном задании, в связи с приостановлением (частичным приостановлением) деятельности указанных учреждений, связанным с распространением новой коронавирусной инфекции (COVID-19).</w:t>
      </w:r>
    </w:p>
    <w:p>
      <w:pPr>
        <w:pStyle w:val="0"/>
        <w:jc w:val="both"/>
      </w:pPr>
      <w:r>
        <w:rPr>
          <w:sz w:val="24"/>
        </w:rPr>
        <w:t xml:space="preserve">(в ред. постановления Правительства Амурской области от 23.12.2020 </w:t>
      </w:r>
      <w:hyperlink w:history="0" r:id="rId76"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4"/>
            <w:color w:val="0000ff"/>
          </w:rPr>
          <w:t xml:space="preserve">N 877</w:t>
        </w:r>
      </w:hyperlink>
      <w:r>
        <w:rPr>
          <w:sz w:val="24"/>
        </w:rPr>
        <w:t xml:space="preserve">)</w:t>
      </w:r>
    </w:p>
    <w:p>
      <w:pPr>
        <w:pStyle w:val="0"/>
        <w:spacing w:before="240" w:lineRule="auto"/>
        <w:ind w:firstLine="540"/>
        <w:jc w:val="both"/>
      </w:pPr>
      <w:r>
        <w:rPr>
          <w:sz w:val="24"/>
        </w:rPr>
        <w:t xml:space="preserve">Государственное задание, сформированное для областных государственных учреждений на 2021 год, не признается невыполненным в случае недостижения (превышения допустимого (возможного) отклонения) показателей государственного задания, характеризующих качество и (или) объем оказываемых государственных услуг (выполняемых работ), в связи с приостановлением (ограничением) в 2021 году деятельности указанных учреждений, связанным с профилактикой и устранением последствий распространения новой коронавирусной инфекции (COVID-19).</w:t>
      </w:r>
    </w:p>
    <w:p>
      <w:pPr>
        <w:pStyle w:val="0"/>
        <w:jc w:val="both"/>
      </w:pPr>
      <w:r>
        <w:rPr>
          <w:sz w:val="24"/>
        </w:rPr>
        <w:t xml:space="preserve">(абзац введен постановлением Правительства Амурской области от 17.12.2021 </w:t>
      </w:r>
      <w:hyperlink w:history="0" r:id="rId77" w:tooltip="Постановление Правительства Амурской области от 17.12.2021 N 1030 &quot;О внесении изменения в постановление Правительства Амурской области от 10 августа 2015 г. N 384&quot; {КонсультантПлюс}">
        <w:r>
          <w:rPr>
            <w:sz w:val="24"/>
            <w:color w:val="0000ff"/>
          </w:rPr>
          <w:t xml:space="preserve">N 1030</w:t>
        </w:r>
      </w:hyperlink>
      <w:r>
        <w:rPr>
          <w:sz w:val="24"/>
        </w:rPr>
        <w:t xml:space="preserve">)</w:t>
      </w:r>
    </w:p>
    <w:p>
      <w:pPr>
        <w:pStyle w:val="0"/>
        <w:spacing w:before="240" w:lineRule="auto"/>
        <w:ind w:firstLine="540"/>
        <w:jc w:val="both"/>
      </w:pPr>
      <w:r>
        <w:rPr>
          <w:sz w:val="24"/>
        </w:rPr>
        <w:t xml:space="preserve">4. Государственное задание формируется в электронном виде в программном комплексе "АЦК-Планирование".</w:t>
      </w:r>
    </w:p>
    <w:p>
      <w:pPr>
        <w:pStyle w:val="0"/>
        <w:spacing w:before="240" w:lineRule="auto"/>
        <w:ind w:firstLine="540"/>
        <w:jc w:val="both"/>
      </w:pPr>
      <w:r>
        <w:rPr>
          <w:sz w:val="24"/>
        </w:rPr>
        <w:t xml:space="preserve">5. Государственное задание формируется в процессе формирования областного бюджета на очередной финансовый год и плановый период и утверждается не позднее 15 рабочих дней со дня утверждения главным распорядителям средств областного бюджета лимитов бюджетных обязательств на финансовое обеспечение выполнения государственного задания в отношении:</w:t>
      </w:r>
    </w:p>
    <w:p>
      <w:pPr>
        <w:pStyle w:val="0"/>
        <w:spacing w:before="240" w:lineRule="auto"/>
        <w:ind w:firstLine="540"/>
        <w:jc w:val="both"/>
      </w:pPr>
      <w:r>
        <w:rPr>
          <w:sz w:val="24"/>
        </w:rPr>
        <w:t xml:space="preserve">а) областных казенных учреждений - главными распорядителями средств областного бюджета, в ведении которых находятся областные казенные учреждения;</w:t>
      </w:r>
    </w:p>
    <w:p>
      <w:pPr>
        <w:pStyle w:val="0"/>
        <w:spacing w:before="240" w:lineRule="auto"/>
        <w:ind w:firstLine="540"/>
        <w:jc w:val="both"/>
      </w:pPr>
      <w:r>
        <w:rPr>
          <w:sz w:val="24"/>
        </w:rPr>
        <w:t xml:space="preserve">б) областных бюджетных или автономных учреждений - органами, осуществляющими функции и полномочия учредителя.</w:t>
      </w:r>
    </w:p>
    <w:p>
      <w:pPr>
        <w:pStyle w:val="0"/>
        <w:jc w:val="both"/>
      </w:pPr>
      <w:r>
        <w:rPr>
          <w:sz w:val="24"/>
        </w:rPr>
        <w:t xml:space="preserve">(п. 5 в ред. постановления Правительства Амурской области от 22.11.2017 </w:t>
      </w:r>
      <w:hyperlink w:history="0" r:id="rId78" w:tooltip="Постановление Правительства Амурской области от 22.11.2017 N 558 &quot;О внесении изменений в постановление Правительства области от 10 августа 2015 г. N 384&quot; {КонсультантПлюс}">
        <w:r>
          <w:rPr>
            <w:sz w:val="24"/>
            <w:color w:val="0000ff"/>
          </w:rPr>
          <w:t xml:space="preserve">N 558</w:t>
        </w:r>
      </w:hyperlink>
      <w:r>
        <w:rPr>
          <w:sz w:val="24"/>
        </w:rPr>
        <w:t xml:space="preserve">)</w:t>
      </w:r>
    </w:p>
    <w:p>
      <w:pPr>
        <w:pStyle w:val="0"/>
        <w:spacing w:before="240" w:lineRule="auto"/>
        <w:ind w:firstLine="540"/>
        <w:jc w:val="both"/>
      </w:pPr>
      <w:r>
        <w:rPr>
          <w:sz w:val="24"/>
        </w:rPr>
        <w:t xml:space="preserve">6. Государственное задание утверждается на срок, соответствующий установленному законодательством Амурской области сроку формирования областного бюджета.</w:t>
      </w:r>
    </w:p>
    <w:p>
      <w:pPr>
        <w:pStyle w:val="0"/>
        <w:spacing w:before="240" w:lineRule="auto"/>
        <w:ind w:firstLine="540"/>
        <w:jc w:val="both"/>
      </w:pPr>
      <w:r>
        <w:rPr>
          <w:sz w:val="24"/>
        </w:rPr>
        <w:t xml:space="preserve">В случае внесения изменений в показатели государственного задания формируется новое государственное задание (с учетом внесенных изменений) в соответствии с положениями настоящего раздела.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79"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п. 6 дополнен абзацами, которые </w:t>
            </w:r>
            <w:hyperlink w:history="0" r:id="rId80"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При изменении подведомственности областного государственного учреждения в государственном задании подлежит изменению информация, включенная в третью часть государственного задания, в том числе в части уточнения положений о периодичности и сроках представления отчетов о выполнении государственного задания, сроков представления предварительного отчета о выполнении государственного задания, а также порядка осуществления контроля за выполнением государственного задания.</w:t>
      </w:r>
    </w:p>
    <w:p>
      <w:pPr>
        <w:pStyle w:val="0"/>
        <w:jc w:val="both"/>
      </w:pPr>
      <w:r>
        <w:rPr>
          <w:sz w:val="24"/>
        </w:rPr>
        <w:t xml:space="preserve">(абзац введен постановлением Правительства Амурской области от 20.12.2019 </w:t>
      </w:r>
      <w:hyperlink w:history="0" r:id="rId8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bookmarkStart w:id="162" w:name="P162"/>
    <w:bookmarkEnd w:id="162"/>
    <w:p>
      <w:pPr>
        <w:pStyle w:val="0"/>
        <w:spacing w:before="240" w:lineRule="auto"/>
        <w:ind w:firstLine="540"/>
        <w:jc w:val="both"/>
      </w:pPr>
      <w:r>
        <w:rPr>
          <w:sz w:val="24"/>
        </w:rPr>
        <w:t xml:space="preserve">При реорганизации областного государственного учреждения (слияние, присоединение, выделение, разделение) государственное задание подлежит изменению в части уточнения показателей государственного задания.</w:t>
      </w:r>
    </w:p>
    <w:p>
      <w:pPr>
        <w:pStyle w:val="0"/>
        <w:jc w:val="both"/>
      </w:pPr>
      <w:r>
        <w:rPr>
          <w:sz w:val="24"/>
        </w:rPr>
        <w:t xml:space="preserve">(абзац введен постановлением Правительства Амурской области от 20.12.2019 </w:t>
      </w:r>
      <w:hyperlink w:history="0" r:id="rId82"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При реорганизации областного государственного учреждения в форме слияния, присоединения показатели государственного задания областных государственных учреждений-правопреемников формируются с учетом показателей государственных заданий реорганизуемых областных государственных учреждений, прекращающих свою деятельность, путем суммирования (построчного объединения) показателей государственных заданий реорганизованных учреждений.</w:t>
      </w:r>
    </w:p>
    <w:p>
      <w:pPr>
        <w:pStyle w:val="0"/>
        <w:jc w:val="both"/>
      </w:pPr>
      <w:r>
        <w:rPr>
          <w:sz w:val="24"/>
        </w:rPr>
        <w:t xml:space="preserve">(абзац введен постановлением Правительства Амурской области от 20.12.2019 </w:t>
      </w:r>
      <w:hyperlink w:history="0" r:id="rId83"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При реорганизации областного государственного учреждения в форме выделения показатели государственного задания областного государственного учреждения, реорганизованного путем выделения из него других областных государственных учреждений, подлежат уменьшению на показатели государственных заданий вновь возникших юридических лиц.</w:t>
      </w:r>
    </w:p>
    <w:p>
      <w:pPr>
        <w:pStyle w:val="0"/>
        <w:jc w:val="both"/>
      </w:pPr>
      <w:r>
        <w:rPr>
          <w:sz w:val="24"/>
        </w:rPr>
        <w:t xml:space="preserve">(абзац введен постановлением Правительства Амурской области от 20.12.2019 </w:t>
      </w:r>
      <w:hyperlink w:history="0" r:id="rId84"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bookmarkStart w:id="168" w:name="P168"/>
    <w:bookmarkEnd w:id="168"/>
    <w:p>
      <w:pPr>
        <w:pStyle w:val="0"/>
        <w:spacing w:before="240" w:lineRule="auto"/>
        <w:ind w:firstLine="540"/>
        <w:jc w:val="both"/>
      </w:pPr>
      <w:r>
        <w:rPr>
          <w:sz w:val="24"/>
        </w:rPr>
        <w:t xml:space="preserve">При реорганизации областного государственного учреждения в форме разделения показатели государственных заданий вновь возникших юридических лиц формируются путем разделения соответствующих показателей государственного задания реорганизованного областного государственного учреждения, прекращающего свою деятельность.</w:t>
      </w:r>
    </w:p>
    <w:p>
      <w:pPr>
        <w:pStyle w:val="0"/>
        <w:jc w:val="both"/>
      </w:pPr>
      <w:r>
        <w:rPr>
          <w:sz w:val="24"/>
        </w:rPr>
        <w:t xml:space="preserve">(абзац введен постановлением Правительства Амурской области от 20.12.2019 </w:t>
      </w:r>
      <w:hyperlink w:history="0" r:id="rId85"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Показатели государственных заданий областных государственных учреждений, прекращающих свою деятельность в результате реорганизации, принимают нулевые значения.</w:t>
      </w:r>
    </w:p>
    <w:p>
      <w:pPr>
        <w:pStyle w:val="0"/>
        <w:jc w:val="both"/>
      </w:pPr>
      <w:r>
        <w:rPr>
          <w:sz w:val="24"/>
        </w:rPr>
        <w:t xml:space="preserve">(абзац введен постановлением Правительства Амурской области от 20.12.2019 </w:t>
      </w:r>
      <w:hyperlink w:history="0" r:id="rId86"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Показатели государственных заданий реорганизованных областных государственных учреждений, за исключением областных государственных учреждений, прекращающих свою деятельность, после завершения реорганизации при суммировании соответствующих показателей должны соответствовать показателям государственных заданий указанных областных государственных учреждений до начала их реорганизации.</w:t>
      </w:r>
    </w:p>
    <w:p>
      <w:pPr>
        <w:pStyle w:val="0"/>
        <w:jc w:val="both"/>
      </w:pPr>
      <w:r>
        <w:rPr>
          <w:sz w:val="24"/>
        </w:rPr>
        <w:t xml:space="preserve">(абзац введен постановлением Правительства Амурской области от 20.12.2019 </w:t>
      </w:r>
      <w:hyperlink w:history="0" r:id="rId87"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8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в п. 7 внесены изменения, которые </w:t>
            </w:r>
            <w:hyperlink w:history="0" r:id="rId89"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75" w:name="P175"/>
    <w:bookmarkEnd w:id="175"/>
    <w:p>
      <w:pPr>
        <w:pStyle w:val="0"/>
        <w:spacing w:before="300" w:lineRule="auto"/>
        <w:ind w:firstLine="540"/>
        <w:jc w:val="both"/>
      </w:pPr>
      <w:r>
        <w:rPr>
          <w:sz w:val="24"/>
        </w:rPr>
        <w:t xml:space="preserve">7. Распределение показателей объема государственных услуг (работ), содержащихся в государственном задании, утвержденном областному государственному учреждению, между созданными им в установленном порядке обособленными подразделениями или внесение изменений в указанные показатели осуществляется в соответствии с положениями настоящего раздела по форме, установленной для государственного задания, предусмотренного </w:t>
      </w:r>
      <w:hyperlink w:history="0" w:anchor="P402" w:tooltip="Государственное задание N">
        <w:r>
          <w:rPr>
            <w:sz w:val="24"/>
            <w:color w:val="0000ff"/>
          </w:rPr>
          <w:t xml:space="preserve">приложением N 1</w:t>
        </w:r>
      </w:hyperlink>
      <w:r>
        <w:rPr>
          <w:sz w:val="24"/>
        </w:rPr>
        <w:t xml:space="preserve"> к настоящему Положению, органом, осуществляющим функции и полномочия учредителя, - в отношении областных бюджетных или автономных учреждений или главными распорядителями средств областного бюджета, в ведении которых находятся областные казенные учреждения, - в отношении указанных областных казенных учреждений, с заполнением показателей, определенных областным государственным учреждением, не позднее 10 рабочих дней со дня утверждения государственного задания областному государственному учреждению или внесения изменений в государственное задание.</w:t>
      </w:r>
    </w:p>
    <w:p>
      <w:pPr>
        <w:pStyle w:val="0"/>
        <w:spacing w:before="240" w:lineRule="auto"/>
        <w:ind w:firstLine="540"/>
        <w:jc w:val="both"/>
      </w:pPr>
      <w:r>
        <w:rPr>
          <w:sz w:val="24"/>
        </w:rPr>
        <w:t xml:space="preserve">По решению указанных в </w:t>
      </w:r>
      <w:hyperlink w:history="0" w:anchor="P175" w:tooltip="7. Распределение показателей объема государственных услуг (работ), содержащихся в государственном задании, утвержденном областному государственному учреждению, между созданными им в установленном порядке обособленными подразделениями или внесение изменений в указанные показатели осуществляется в соответствии с положениями настоящего раздела по форме, установленной для государственного задания, предусмотренного приложением N 1 к настоящему Положению, органом, осуществляющим функции и полномочия учредителя...">
        <w:r>
          <w:rPr>
            <w:sz w:val="24"/>
            <w:color w:val="0000ff"/>
          </w:rPr>
          <w:t xml:space="preserve">абзаце первом</w:t>
        </w:r>
      </w:hyperlink>
      <w:r>
        <w:rPr>
          <w:sz w:val="24"/>
        </w:rPr>
        <w:t xml:space="preserve"> настоящего пункта органа, осуществляющего функции и полномочия учредителя, главного распорядителя средств областного бюджета соответственно распределение показателей объема государственных услуг (работ), содержащихся в государственном задании, утвержденном областному государственному учреждению, между созданными им в установленном порядке обособленными подразделениями или внесение изменений в указанные показатели может осуществляться самостоятельно областным государственным учреждением в соответствии с положениями настоящего раздела по форме, установленной для государственного задания, предусмотренной </w:t>
      </w:r>
      <w:hyperlink w:history="0" w:anchor="P402" w:tooltip="Государственное задание N">
        <w:r>
          <w:rPr>
            <w:sz w:val="24"/>
            <w:color w:val="0000ff"/>
          </w:rPr>
          <w:t xml:space="preserve">приложением N 1</w:t>
        </w:r>
      </w:hyperlink>
      <w:r>
        <w:rPr>
          <w:sz w:val="24"/>
        </w:rPr>
        <w:t xml:space="preserve"> к настоящему Положению.</w:t>
      </w:r>
    </w:p>
    <w:p>
      <w:pPr>
        <w:pStyle w:val="0"/>
        <w:jc w:val="both"/>
      </w:pPr>
      <w:r>
        <w:rPr>
          <w:sz w:val="24"/>
        </w:rPr>
        <w:t xml:space="preserve">(п. 7 в ред. постановления Правительства Амурской области от 28.09.2023 </w:t>
      </w:r>
      <w:hyperlink w:history="0" r:id="rId90"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8. Государственное задание формируется в соответствии с общероссийскими базовыми (отраслевыми) перечнями (классификаторами) государственных и муниципальных услуг, оказываемых физическим лицам (далее - общероссийские базовые перечни), а также региональным перечнем (классификатором) государственных (муниципальных) услуг, не включенных в общероссийские базовые перечни, и работ (далее - региональный перечень).</w:t>
      </w:r>
    </w:p>
    <w:p>
      <w:pPr>
        <w:pStyle w:val="0"/>
        <w:jc w:val="both"/>
      </w:pPr>
      <w:r>
        <w:rPr>
          <w:sz w:val="24"/>
        </w:rPr>
        <w:t xml:space="preserve">(п. 8 в ред. постановления Правительства Амурской области от 28.09.2023 </w:t>
      </w:r>
      <w:hyperlink w:history="0" r:id="rId91"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9. Государственное задание, распределение показателей объема государственных услуг (работ), содержащихся в государственном задании, утвержденном областному государственному учреждению, между созданными им в установленном порядке обособленными подразделениями и </w:t>
      </w:r>
      <w:hyperlink w:history="0" w:anchor="P780" w:tooltip="Отчет">
        <w:r>
          <w:rPr>
            <w:sz w:val="24"/>
            <w:color w:val="0000ff"/>
          </w:rPr>
          <w:t xml:space="preserve">отчет</w:t>
        </w:r>
      </w:hyperlink>
      <w:r>
        <w:rPr>
          <w:sz w:val="24"/>
        </w:rPr>
        <w:t xml:space="preserve"> о выполнении государственного задания, формируемый согласно приложению N 2 к настоящему Положению, за исключением содержащихся в них сведений, составляющих государственную тайну, размещаются на официальном сайте в информационно-телекоммуникационной сети Интернет для размещения информации о государственных и муниципальных учреждениях (</w:t>
      </w:r>
      <w:hyperlink w:history="0" r:id="rId92">
        <w:r>
          <w:rPr>
            <w:sz w:val="24"/>
            <w:color w:val="0000ff"/>
          </w:rPr>
          <w:t xml:space="preserve">www.bus.gov.ru</w:t>
        </w:r>
      </w:hyperlink>
      <w:r>
        <w:rPr>
          <w:sz w:val="24"/>
        </w:rPr>
        <w:t xml:space="preserve">), а также могут быть размещены на официальных сайтах в информационно-телекоммуникационной сети Интернет главных распорядителей средств областного бюджета, в ведении которых находятся областные казенные учреждения, и органов, осуществляющих функции и полномочия учредителя, и на официальных сайтах в информационно-телекоммуникационной сети Интернет областных государственных учреждений.</w:t>
      </w:r>
    </w:p>
    <w:p>
      <w:pPr>
        <w:pStyle w:val="0"/>
        <w:jc w:val="both"/>
      </w:pPr>
      <w:r>
        <w:rPr>
          <w:sz w:val="24"/>
        </w:rPr>
        <w:t xml:space="preserve">(в ред. постановлений Правительства Амурской области от 11.11.2016 </w:t>
      </w:r>
      <w:hyperlink w:history="0" r:id="rId93"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 от 28.12.2023 </w:t>
      </w:r>
      <w:hyperlink w:history="0" r:id="rId94"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rPr>
        <w:t xml:space="preserve">)</w:t>
      </w:r>
    </w:p>
    <w:p>
      <w:pPr>
        <w:pStyle w:val="0"/>
        <w:ind w:firstLine="540"/>
        <w:jc w:val="both"/>
      </w:pPr>
      <w:r>
        <w:rPr>
          <w:sz w:val="24"/>
        </w:rPr>
      </w:r>
    </w:p>
    <w:p>
      <w:pPr>
        <w:pStyle w:val="2"/>
        <w:outlineLvl w:val="1"/>
        <w:jc w:val="center"/>
      </w:pPr>
      <w:r>
        <w:rPr>
          <w:sz w:val="24"/>
        </w:rPr>
        <w:t xml:space="preserve">II. Финансовое обеспечение выполнения</w:t>
      </w:r>
    </w:p>
    <w:p>
      <w:pPr>
        <w:pStyle w:val="2"/>
        <w:jc w:val="center"/>
      </w:pPr>
      <w:r>
        <w:rPr>
          <w:sz w:val="24"/>
        </w:rPr>
        <w:t xml:space="preserve">государственного задания</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9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в п. 10 внесены изменения, которые </w:t>
            </w:r>
            <w:hyperlink w:history="0" r:id="rId9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87" w:name="P187"/>
    <w:bookmarkEnd w:id="187"/>
    <w:p>
      <w:pPr>
        <w:pStyle w:val="0"/>
        <w:spacing w:before="300" w:lineRule="auto"/>
        <w:ind w:firstLine="540"/>
        <w:jc w:val="both"/>
      </w:pPr>
      <w:r>
        <w:rPr>
          <w:sz w:val="24"/>
        </w:rPr>
        <w:t xml:space="preserve">10. Объем финансового обеспечения выполнения государственного задания рассчитывается на основании нормативных затрат на оказание государственных услуг, нормативных затрат, связанных с выполнением работ, с учетом затрат на содержание недвижимого имущества и особо ценного движимого имущества, используемого областным государственным учреждением при выполнении государственного задания (далее - имущество учреждения), затрат на уплату налогов, в качестве объекта налогообложения по которым признается имущество учреждения.</w:t>
      </w:r>
    </w:p>
    <w:p>
      <w:pPr>
        <w:pStyle w:val="0"/>
        <w:jc w:val="both"/>
      </w:pPr>
      <w:r>
        <w:rPr>
          <w:sz w:val="24"/>
        </w:rPr>
        <w:t xml:space="preserve">(п. 10 в ред. постановления Правительства Амурской области от 28.09.2023 </w:t>
      </w:r>
      <w:hyperlink w:history="0" r:id="rId9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98"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п. 11 внесены изменения, которые </w:t>
            </w:r>
            <w:hyperlink w:history="0" r:id="rId99"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90" w:name="P190"/>
    <w:bookmarkEnd w:id="190"/>
    <w:p>
      <w:pPr>
        <w:pStyle w:val="0"/>
        <w:spacing w:before="300" w:lineRule="auto"/>
        <w:ind w:firstLine="540"/>
        <w:jc w:val="both"/>
      </w:pPr>
      <w:r>
        <w:rPr>
          <w:sz w:val="24"/>
        </w:rPr>
        <w:t xml:space="preserve">11. Объем финансового обеспечения выполнения государственного задания (R) определяется по формуле:</w:t>
      </w:r>
    </w:p>
    <w:p>
      <w:pPr>
        <w:pStyle w:val="0"/>
        <w:ind w:firstLine="540"/>
        <w:jc w:val="both"/>
      </w:pPr>
      <w:r>
        <w:rPr>
          <w:sz w:val="24"/>
        </w:rPr>
      </w:r>
    </w:p>
    <w:p>
      <w:pPr>
        <w:pStyle w:val="0"/>
        <w:jc w:val="center"/>
      </w:pPr>
      <w:r>
        <w:rPr>
          <w:position w:val="-13"/>
        </w:rPr>
        <w:drawing>
          <wp:inline distT="0" distB="0" distL="0" distR="0">
            <wp:extent cx="5017770" cy="3200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a:extLst>
                        <a:ext uri="{28A0092B-C50C-407E-A947-70E740481C1C}">
                          <a14:useLocalDpi xmlns:a14="http://schemas.microsoft.com/office/drawing/2010/main" val="0"/>
                        </a:ext>
                      </a:extLst>
                    </a:blip>
                    <a:srcRect/>
                    <a:stretch>
                      <a:fillRect/>
                    </a:stretch>
                  </pic:blipFill>
                  <pic:spPr bwMode="auto">
                    <a:xfrm>
                      <a:off x="0" y="0"/>
                      <a:ext cx="5017770" cy="320040"/>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N</w:t>
      </w:r>
      <w:r>
        <w:rPr>
          <w:sz w:val="24"/>
          <w:vertAlign w:val="subscript"/>
        </w:rPr>
        <w:t xml:space="preserve">i</w:t>
      </w:r>
      <w:r>
        <w:rPr>
          <w:sz w:val="24"/>
        </w:rPr>
        <w:t xml:space="preserve"> - нормативные затраты на оказание i-й государственной услуги, установленной государственным заданием;</w:t>
      </w:r>
    </w:p>
    <w:p>
      <w:pPr>
        <w:pStyle w:val="0"/>
        <w:spacing w:before="240" w:lineRule="auto"/>
        <w:ind w:firstLine="540"/>
        <w:jc w:val="both"/>
      </w:pPr>
      <w:r>
        <w:rPr>
          <w:sz w:val="24"/>
        </w:rPr>
        <w:t xml:space="preserve">V</w:t>
      </w:r>
      <w:r>
        <w:rPr>
          <w:sz w:val="24"/>
          <w:vertAlign w:val="subscript"/>
        </w:rPr>
        <w:t xml:space="preserve">i</w:t>
      </w:r>
      <w:r>
        <w:rPr>
          <w:sz w:val="24"/>
        </w:rPr>
        <w:t xml:space="preserve"> - объем i-й государственной услуги, установленной государственным заданием;</w:t>
      </w:r>
    </w:p>
    <w:p>
      <w:pPr>
        <w:pStyle w:val="0"/>
        <w:spacing w:before="240" w:lineRule="auto"/>
        <w:ind w:firstLine="540"/>
        <w:jc w:val="both"/>
      </w:pPr>
      <w:r>
        <w:rPr>
          <w:sz w:val="24"/>
        </w:rPr>
        <w:t xml:space="preserve">N</w:t>
      </w:r>
      <w:r>
        <w:rPr>
          <w:sz w:val="24"/>
          <w:vertAlign w:val="subscript"/>
        </w:rPr>
        <w:t xml:space="preserve">w</w:t>
      </w:r>
      <w:r>
        <w:rPr>
          <w:sz w:val="24"/>
        </w:rPr>
        <w:t xml:space="preserve"> - нормативные затраты на выполнение w-й работы, установленной государственным заданием;</w:t>
      </w:r>
    </w:p>
    <w:p>
      <w:pPr>
        <w:pStyle w:val="0"/>
        <w:spacing w:before="240" w:lineRule="auto"/>
        <w:ind w:firstLine="540"/>
        <w:jc w:val="both"/>
      </w:pPr>
      <w:r>
        <w:rPr>
          <w:sz w:val="24"/>
        </w:rPr>
        <w:t xml:space="preserve">V</w:t>
      </w:r>
      <w:r>
        <w:rPr>
          <w:sz w:val="24"/>
          <w:vertAlign w:val="subscript"/>
        </w:rPr>
        <w:t xml:space="preserve">w</w:t>
      </w:r>
      <w:r>
        <w:rPr>
          <w:sz w:val="24"/>
        </w:rPr>
        <w:t xml:space="preserve"> - объем w-й работы, установленной государственным заданием;</w:t>
      </w:r>
    </w:p>
    <w:p>
      <w:pPr>
        <w:pStyle w:val="0"/>
        <w:spacing w:before="240" w:lineRule="auto"/>
        <w:ind w:firstLine="540"/>
        <w:jc w:val="both"/>
      </w:pPr>
      <w:r>
        <w:rPr>
          <w:sz w:val="24"/>
        </w:rPr>
        <w:t xml:space="preserve">P</w:t>
      </w:r>
      <w:r>
        <w:rPr>
          <w:sz w:val="24"/>
          <w:vertAlign w:val="subscript"/>
        </w:rPr>
        <w:t xml:space="preserve">i</w:t>
      </w:r>
      <w:r>
        <w:rPr>
          <w:sz w:val="24"/>
        </w:rPr>
        <w:t xml:space="preserve"> - размер платы (тариф и цена) за выполнение i-й государственной услуги в соответствии с </w:t>
      </w:r>
      <w:hyperlink w:history="0" w:anchor="P303" w:tooltip="33. В случае если областное бюджетное или автономное учреждение осуществляет платную деятельность в рамках установленного государственного задания, по которому в соответствии с федеральными законами предусмотрено взимание платы, объем финансового обеспечения выполнения государственного задания, рассчитанный на основе нормативных затрат (затрат), подлежит уменьшению на объем доходов от платной деятельности исходя из объема государственной услуги (работы), за оказание (выполнение) которой предусмотрено взи...">
        <w:r>
          <w:rPr>
            <w:sz w:val="24"/>
            <w:color w:val="0000ff"/>
          </w:rPr>
          <w:t xml:space="preserve">пунктом 33</w:t>
        </w:r>
      </w:hyperlink>
      <w:r>
        <w:rPr>
          <w:sz w:val="24"/>
        </w:rPr>
        <w:t xml:space="preserve"> настоящего Положения, установленный государственным заданием;</w:t>
      </w:r>
    </w:p>
    <w:p>
      <w:pPr>
        <w:pStyle w:val="0"/>
        <w:spacing w:before="240" w:lineRule="auto"/>
        <w:ind w:firstLine="540"/>
        <w:jc w:val="both"/>
      </w:pPr>
      <w:r>
        <w:rPr>
          <w:sz w:val="24"/>
        </w:rPr>
        <w:t xml:space="preserve">P</w:t>
      </w:r>
      <w:r>
        <w:rPr>
          <w:sz w:val="24"/>
          <w:vertAlign w:val="subscript"/>
        </w:rPr>
        <w:t xml:space="preserve">w</w:t>
      </w:r>
      <w:r>
        <w:rPr>
          <w:sz w:val="24"/>
        </w:rPr>
        <w:t xml:space="preserve"> - размер платы (тариф и цена) за оказание w-й работы в соответствии с </w:t>
      </w:r>
      <w:hyperlink w:history="0" w:anchor="P303" w:tooltip="33. В случае если областное бюджетное или автономное учреждение осуществляет платную деятельность в рамках установленного государственного задания, по которому в соответствии с федеральными законами предусмотрено взимание платы, объем финансового обеспечения выполнения государственного задания, рассчитанный на основе нормативных затрат (затрат), подлежит уменьшению на объем доходов от платной деятельности исходя из объема государственной услуги (работы), за оказание (выполнение) которой предусмотрено взи...">
        <w:r>
          <w:rPr>
            <w:sz w:val="24"/>
            <w:color w:val="0000ff"/>
          </w:rPr>
          <w:t xml:space="preserve">пунктом 33</w:t>
        </w:r>
      </w:hyperlink>
      <w:r>
        <w:rPr>
          <w:sz w:val="24"/>
        </w:rPr>
        <w:t xml:space="preserve"> настоящего Положения, установленный государственным заданием;</w:t>
      </w:r>
    </w:p>
    <w:p>
      <w:pPr>
        <w:pStyle w:val="0"/>
        <w:spacing w:before="240" w:lineRule="auto"/>
        <w:ind w:firstLine="540"/>
        <w:jc w:val="both"/>
      </w:pPr>
      <w:r>
        <w:rPr>
          <w:sz w:val="24"/>
        </w:rPr>
        <w:t xml:space="preserve">N</w:t>
      </w:r>
      <w:r>
        <w:rPr>
          <w:sz w:val="24"/>
          <w:vertAlign w:val="superscript"/>
        </w:rPr>
        <w:t xml:space="preserve">УН</w:t>
      </w:r>
      <w:r>
        <w:rPr>
          <w:sz w:val="24"/>
        </w:rPr>
        <w:t xml:space="preserve"> - затраты на уплату налогов, в качестве объекта налогообложения по которым признается имущество учреждения.</w:t>
      </w:r>
    </w:p>
    <w:p>
      <w:pPr>
        <w:pStyle w:val="0"/>
        <w:jc w:val="both"/>
      </w:pPr>
      <w:r>
        <w:rPr>
          <w:sz w:val="24"/>
        </w:rPr>
        <w:t xml:space="preserve">(п. 11 в ред. постановления Правительства Амурской области от 20.12.2019 </w:t>
      </w:r>
      <w:hyperlink w:history="0" r:id="rId10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Действие п.п. 12 - 14 </w:t>
            </w:r>
            <w:hyperlink w:history="0" w:anchor="P86" w:tooltip="4. Действие пункта 10 (за исключением нормативных затрат, связанных с выполнением работ в рамках государственного задания), пункта 11 (за выполнением работ в рамках государственного задания), пункта 11 (за исключением абзаца второго в части нормативных затрат, связанных с выполнением работ в рамках государственного задания, и абзаца шестого), пунктов 12 - 17, пункта 18 (за исключением подпункта &quot;г&quot;), пунктов 19 - 24, 30 - 35 Положения и приложения N 1 к Положению распространяется на правоотношения, возни...">
              <w:r>
                <w:rPr>
                  <w:sz w:val="24"/>
                  <w:color w:val="0000ff"/>
                </w:rPr>
                <w:t xml:space="preserve">распространяется</w:t>
              </w:r>
            </w:hyperlink>
            <w:r>
              <w:rPr>
                <w:sz w:val="24"/>
                <w:color w:val="392c69"/>
              </w:rPr>
              <w:t xml:space="preserve"> на правоотношения, возникшие при формировании государственного задания и расчете объема финансового обеспечения выполнения государственного задания начиная с государственного задания на 2016 год и на плановый период 2017 и 2018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04" w:name="P204"/>
    <w:bookmarkEnd w:id="204"/>
    <w:p>
      <w:pPr>
        <w:pStyle w:val="0"/>
        <w:spacing w:before="300" w:lineRule="auto"/>
        <w:ind w:firstLine="540"/>
        <w:jc w:val="both"/>
      </w:pPr>
      <w:r>
        <w:rPr>
          <w:sz w:val="24"/>
        </w:rPr>
        <w:t xml:space="preserve">12. Нормативные затраты на оказание государственной услуги рассчитываются на единицу показателя объема оказания услуги, установленного в государственном задании, на основе определяемых в соответствии с настоящим Положением базового норматива затрат и корректирующих коэффициентов к базовым нормативам затрат (далее - корректирующие коэффициенты), с соблюдением общих требований к определению нормативных затрат на оказание государственных (муниципальных) услуг, применяемых при расчете объема финансового обеспечения выполнения государственного задания на оказание государственных услуг (выполнение работ) государственным учреждением в соответствующих сферах деятельности (далее - общие требования), утверждаемых федеральными органами исполнительной власти, осуществляющими функции по выработке государственной политики и нормативно-правовому регулированию в установленной сфере деятельности.</w:t>
      </w:r>
    </w:p>
    <w:p>
      <w:pPr>
        <w:pStyle w:val="0"/>
        <w:spacing w:before="240" w:lineRule="auto"/>
        <w:ind w:firstLine="540"/>
        <w:jc w:val="both"/>
      </w:pPr>
      <w:r>
        <w:rPr>
          <w:sz w:val="24"/>
        </w:rPr>
        <w:t xml:space="preserve">13. Значения нормативных затрат на оказание государственной услуги утверждаются в отношении:</w:t>
      </w:r>
    </w:p>
    <w:p>
      <w:pPr>
        <w:pStyle w:val="0"/>
        <w:spacing w:before="240" w:lineRule="auto"/>
        <w:ind w:firstLine="540"/>
        <w:jc w:val="both"/>
      </w:pPr>
      <w:r>
        <w:rPr>
          <w:sz w:val="24"/>
        </w:rPr>
        <w:t xml:space="preserve">а) областных казенных учреждений - главным распорядителем средств областного бюджета, в ведении которого находятся областные казенные учреждения, в случае принятия им решения о применении нормативных затрат при расчете объема финансового обеспечения выполнения государственного задания;</w:t>
      </w:r>
    </w:p>
    <w:p>
      <w:pPr>
        <w:pStyle w:val="0"/>
        <w:spacing w:before="240" w:lineRule="auto"/>
        <w:ind w:firstLine="540"/>
        <w:jc w:val="both"/>
      </w:pPr>
      <w:r>
        <w:rPr>
          <w:sz w:val="24"/>
        </w:rPr>
        <w:t xml:space="preserve">б) областных бюджетных или автономных учреждений - органом, осуществляющим функции и полномочия учредителя.</w:t>
      </w:r>
    </w:p>
    <w:p>
      <w:pPr>
        <w:pStyle w:val="0"/>
        <w:spacing w:before="240" w:lineRule="auto"/>
        <w:ind w:firstLine="540"/>
        <w:jc w:val="both"/>
      </w:pPr>
      <w:r>
        <w:rPr>
          <w:sz w:val="24"/>
        </w:rPr>
        <w:t xml:space="preserve">14. Базовый норматив затрат на оказание государственной услуги состоит из базового норматива:</w:t>
      </w:r>
    </w:p>
    <w:p>
      <w:pPr>
        <w:pStyle w:val="0"/>
        <w:spacing w:before="240" w:lineRule="auto"/>
        <w:ind w:firstLine="540"/>
        <w:jc w:val="both"/>
      </w:pPr>
      <w:r>
        <w:rPr>
          <w:sz w:val="24"/>
        </w:rPr>
        <w:t xml:space="preserve">а) затрат, непосредственно связанных с оказанием государственной услуги;</w:t>
      </w:r>
    </w:p>
    <w:p>
      <w:pPr>
        <w:pStyle w:val="0"/>
        <w:spacing w:before="240" w:lineRule="auto"/>
        <w:ind w:firstLine="540"/>
        <w:jc w:val="both"/>
      </w:pPr>
      <w:r>
        <w:rPr>
          <w:sz w:val="24"/>
        </w:rPr>
        <w:t xml:space="preserve">б) затрат на общехозяйственные нужды на оказание государственной услуги.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02"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п. 15 внесены изменения, которые </w:t>
            </w:r>
            <w:hyperlink w:history="0" r:id="rId103"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15. Базовый норматив затрат рассчитывается исходя из затрат, необходимых для оказания государственной услуги, с соблюдением показателей качества оказания государственной услуги, показателей, отражающих отраслевую специфику государственной услуги (содержание, условия (формы) оказания государственной услуги), установленных в общероссийских базовых перечнях и (или) региональных перечнях, отраслевой корректирующий коэффициент при которых принимает значение, равное 1, а также показателей, отражающих отраслевую специфику государственной услуги, установленных в общих требованиях, отраслевой корректирующий коэффициент при которых определяется по каждому показателю индивидуально с учетом требований </w:t>
      </w:r>
      <w:hyperlink w:history="0" w:anchor="P256" w:tooltip="23. Отраслевой корректирующий коэффициент учитывает показатели отраслевой специфики и определяется в соответствии с общими требованиями.">
        <w:r>
          <w:rPr>
            <w:sz w:val="24"/>
            <w:color w:val="0000ff"/>
          </w:rPr>
          <w:t xml:space="preserve">пункта 23</w:t>
        </w:r>
      </w:hyperlink>
      <w:r>
        <w:rPr>
          <w:sz w:val="24"/>
        </w:rPr>
        <w:t xml:space="preserve"> настоящего Положения.</w:t>
      </w:r>
    </w:p>
    <w:p>
      <w:pPr>
        <w:pStyle w:val="0"/>
        <w:jc w:val="both"/>
      </w:pPr>
      <w:r>
        <w:rPr>
          <w:sz w:val="24"/>
        </w:rPr>
        <w:t xml:space="preserve">(п. 15 в ред. постановления Правительства Амурской области от 20.12.2019 </w:t>
      </w:r>
      <w:hyperlink w:history="0" r:id="rId104"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bookmarkStart w:id="214" w:name="P214"/>
    <w:bookmarkEnd w:id="214"/>
    <w:p>
      <w:pPr>
        <w:pStyle w:val="0"/>
        <w:spacing w:before="240" w:lineRule="auto"/>
        <w:ind w:firstLine="540"/>
        <w:jc w:val="both"/>
      </w:pPr>
      <w:r>
        <w:rPr>
          <w:sz w:val="24"/>
        </w:rPr>
        <w:t xml:space="preserve">16. При определении базового норматива затрат в части затрат, указанных в </w:t>
      </w:r>
      <w:hyperlink w:history="0" w:anchor="P217" w:tooltip="17. В базовый норматив затрат, непосредственно связанных с оказанием государственной услуги, включаются:">
        <w:r>
          <w:rPr>
            <w:sz w:val="24"/>
            <w:color w:val="0000ff"/>
          </w:rPr>
          <w:t xml:space="preserve">пункте 17</w:t>
        </w:r>
      </w:hyperlink>
      <w:r>
        <w:rPr>
          <w:sz w:val="24"/>
        </w:rPr>
        <w:t xml:space="preserve"> настоящего Положения, применяются нормы материальных, технических и трудовых ресурсов, используемых для оказания государственной услуги, установленные нормативными правовыми актами Российской Федерации, Амурской области, межгосударственными, национальными (государственными) стандартами Российской Федерации, строительными нормами и правилами, санитарными нормами и правилами, стандартами, порядками, регламентами и паспортами оказания государственных услуг в установленной сфере (далее - стандарты услуги).</w:t>
      </w:r>
    </w:p>
    <w:p>
      <w:pPr>
        <w:pStyle w:val="0"/>
        <w:spacing w:before="240" w:lineRule="auto"/>
        <w:ind w:firstLine="540"/>
        <w:jc w:val="both"/>
      </w:pPr>
      <w:r>
        <w:rPr>
          <w:sz w:val="24"/>
        </w:rPr>
        <w:t xml:space="preserve">Затраты, указанные в </w:t>
      </w:r>
      <w:hyperlink w:history="0" w:anchor="P227" w:tooltip="18. В базовый норматив затрат на общехозяйственные нужды на оказание государственной услуги включаются:">
        <w:r>
          <w:rPr>
            <w:sz w:val="24"/>
            <w:color w:val="0000ff"/>
          </w:rPr>
          <w:t xml:space="preserve">пункте 18</w:t>
        </w:r>
      </w:hyperlink>
      <w:r>
        <w:rPr>
          <w:sz w:val="24"/>
        </w:rPr>
        <w:t xml:space="preserve"> настоящего Положения, устанавливаются по видам указанных затрат исходя из нормативов их потребления, определяемых на основании стандартов услуги, или на основе усреднения показателей деятельности областного государственного учреждения, которое имеет минимальный объем указанных затрат на оказание единицы государственной услуги в установленной сфере, или на основе медианного значения по областным государственным учреждениям, оказывающим государственную услугу в установленной сфере деятельности, в соответствии с общими требованиями.</w:t>
      </w:r>
    </w:p>
    <w:p>
      <w:pPr>
        <w:pStyle w:val="0"/>
        <w:jc w:val="both"/>
      </w:pPr>
      <w:r>
        <w:rPr>
          <w:sz w:val="24"/>
        </w:rPr>
        <w:t xml:space="preserve">(п. 16 в ред. постановления Правительства Амурской области от 05.10.2018 </w:t>
      </w:r>
      <w:hyperlink w:history="0" r:id="rId105"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rPr>
        <w:t xml:space="preserve">)</w:t>
      </w:r>
    </w:p>
    <w:bookmarkStart w:id="217" w:name="P217"/>
    <w:bookmarkEnd w:id="217"/>
    <w:p>
      <w:pPr>
        <w:pStyle w:val="0"/>
        <w:spacing w:before="240" w:lineRule="auto"/>
        <w:ind w:firstLine="540"/>
        <w:jc w:val="both"/>
      </w:pPr>
      <w:r>
        <w:rPr>
          <w:sz w:val="24"/>
        </w:rPr>
        <w:t xml:space="preserve">17. В базовый норматив затрат, непосредственно связанных с оказанием государственной услуги, включаются:</w:t>
      </w:r>
    </w:p>
    <w:p>
      <w:pPr>
        <w:pStyle w:val="0"/>
        <w:spacing w:before="240" w:lineRule="auto"/>
        <w:ind w:firstLine="540"/>
        <w:jc w:val="both"/>
      </w:pPr>
      <w:r>
        <w:rPr>
          <w:sz w:val="24"/>
        </w:rPr>
        <w:t xml:space="preserve">а) затраты на оплату труда работников и начисления на выплаты по оплате труда работников, непосредственно связанных с оказанием государственной услуги, включая страховые взносы в Фонд пенсионного и социального страхования Российской Федерации и Федеральный фонд обязательного медицинского страхования, страховые взносы на обязательное социальное страхование от несчастных случаев на производстве и профессиональных заболеваний в соответствии с трудовым законодательством и иными нормативными правовыми актами, содержащими нормы трудового права (далее - начисления на выплаты по оплате труда);</w:t>
      </w:r>
    </w:p>
    <w:p>
      <w:pPr>
        <w:pStyle w:val="0"/>
        <w:jc w:val="both"/>
      </w:pPr>
      <w:r>
        <w:rPr>
          <w:sz w:val="24"/>
        </w:rPr>
        <w:t xml:space="preserve">(в ред. постановлений Правительства Амурской области от 11.11.2016 </w:t>
      </w:r>
      <w:hyperlink w:history="0" r:id="rId106"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 от 31.03.2023 </w:t>
      </w:r>
      <w:hyperlink w:history="0" r:id="rId107" w:tooltip="Постановление Правительства Амурской области от 31.03.2023 N 304 &quot;О внесении изменений в постановление Правительства Амурской области от 10 августа 2015 г. N 384&quot; {КонсультантПлюс}">
        <w:r>
          <w:rPr>
            <w:sz w:val="24"/>
            <w:color w:val="0000ff"/>
          </w:rPr>
          <w:t xml:space="preserve">N 304</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Пп. "б" п. 17 </w:t>
            </w:r>
            <w:hyperlink w:history="0" r:id="rId108"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применяется</w:t>
              </w:r>
            </w:hyperlink>
            <w:r>
              <w:rPr>
                <w:sz w:val="24"/>
                <w:color w:val="392c69"/>
              </w:rPr>
              <w:t xml:space="preserve"> при расчете объема финансового обеспечения выполнения государственного задания начиная с государственного задания на 2018 год и на плановый период 2019 и 2020 годов (</w:t>
            </w:r>
            <w:hyperlink w:history="0" r:id="rId109"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постановление</w:t>
              </w:r>
            </w:hyperlink>
            <w:r>
              <w:rPr>
                <w:sz w:val="24"/>
                <w:color w:val="392c69"/>
              </w:rPr>
              <w:t xml:space="preserve"> Правительства Амурской области от 11.11.2016 N 496).</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1" w:name="P221"/>
    <w:bookmarkEnd w:id="221"/>
    <w:p>
      <w:pPr>
        <w:pStyle w:val="0"/>
        <w:spacing w:before="300" w:lineRule="auto"/>
        <w:ind w:firstLine="540"/>
        <w:jc w:val="both"/>
      </w:pPr>
      <w:r>
        <w:rPr>
          <w:sz w:val="24"/>
        </w:rPr>
        <w:t xml:space="preserve">б) затраты на приобретение материальных запасов и на приобретение движимого имущества (основных средств и нематериальных активов), не отнесенного к особо ценному движимому имуществу и используемого в процессе оказания государственной услуги, с учетом срока его полезного использования, а также затраты на аренду указанного имущества;</w:t>
      </w:r>
    </w:p>
    <w:p>
      <w:pPr>
        <w:pStyle w:val="0"/>
        <w:jc w:val="both"/>
      </w:pPr>
      <w:r>
        <w:rPr>
          <w:sz w:val="24"/>
        </w:rPr>
        <w:t xml:space="preserve">(пп. "б" в ред. постановления Правительства Амурской области от 11.11.2016 </w:t>
      </w:r>
      <w:hyperlink w:history="0" r:id="rId110"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11"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пп. "б.1" п. 17 признан утратившим силу, данное изменение </w:t>
            </w:r>
            <w:hyperlink w:history="0" r:id="rId11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б.1) утратил силу. - Постановление Правительства Амурской области от 28.09.2023 </w:t>
      </w:r>
      <w:hyperlink w:history="0" r:id="rId11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в) иные затраты, непосредственно связанные с оказанием государственной услуги.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Действие п. 18 (за исключением </w:t>
            </w:r>
            <w:hyperlink w:history="0" w:anchor="P234" w:tooltip="г) утратил силу. - Постановление Правительства Амурской области от 28.09.2023 N 811;">
              <w:r>
                <w:rPr>
                  <w:sz w:val="24"/>
                  <w:color w:val="0000ff"/>
                </w:rPr>
                <w:t xml:space="preserve">пп. "г"</w:t>
              </w:r>
            </w:hyperlink>
            <w:r>
              <w:rPr>
                <w:sz w:val="24"/>
                <w:color w:val="392c69"/>
              </w:rPr>
              <w:t xml:space="preserve">) </w:t>
            </w:r>
            <w:hyperlink w:history="0" w:anchor="P86" w:tooltip="4. Действие пункта 10 (за исключением нормативных затрат, связанных с выполнением работ в рамках государственного задания), пункта 11 (за выполнением работ в рамках государственного задания), пункта 11 (за исключением абзаца второго в части нормативных затрат, связанных с выполнением работ в рамках государственного задания, и абзаца шестого), пунктов 12 - 17, пункта 18 (за исключением подпункта &quot;г&quot;), пунктов 19 - 24, 30 - 35 Положения и приложения N 1 к Положению распространяется на правоотношения, возни...">
              <w:r>
                <w:rPr>
                  <w:sz w:val="24"/>
                  <w:color w:val="0000ff"/>
                </w:rPr>
                <w:t xml:space="preserve">распространяется</w:t>
              </w:r>
            </w:hyperlink>
            <w:r>
              <w:rPr>
                <w:sz w:val="24"/>
                <w:color w:val="392c69"/>
              </w:rPr>
              <w:t xml:space="preserve"> на правоотношения, возникшие при формировании государственного задания и расчете объема финансового обеспечения выполнения государственного задания начиная с государственного задания на 2016 год и на плановый период 2017 и 2018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7" w:name="P227"/>
    <w:bookmarkEnd w:id="227"/>
    <w:p>
      <w:pPr>
        <w:pStyle w:val="0"/>
        <w:spacing w:before="300" w:lineRule="auto"/>
        <w:ind w:firstLine="540"/>
        <w:jc w:val="both"/>
      </w:pPr>
      <w:r>
        <w:rPr>
          <w:sz w:val="24"/>
        </w:rPr>
        <w:t xml:space="preserve">18. В базовый норматив затрат на общехозяйственные нужды на оказание государственной услуги включаются:</w:t>
      </w:r>
    </w:p>
    <w:bookmarkStart w:id="228" w:name="P228"/>
    <w:bookmarkEnd w:id="228"/>
    <w:p>
      <w:pPr>
        <w:pStyle w:val="0"/>
        <w:spacing w:before="240" w:lineRule="auto"/>
        <w:ind w:firstLine="540"/>
        <w:jc w:val="both"/>
      </w:pPr>
      <w:r>
        <w:rPr>
          <w:sz w:val="24"/>
        </w:rPr>
        <w:t xml:space="preserve">а) затраты на коммунальные услуги;</w:t>
      </w:r>
    </w:p>
    <w:bookmarkStart w:id="229" w:name="P229"/>
    <w:bookmarkEnd w:id="229"/>
    <w:p>
      <w:pPr>
        <w:pStyle w:val="0"/>
        <w:spacing w:before="240" w:lineRule="auto"/>
        <w:ind w:firstLine="540"/>
        <w:jc w:val="both"/>
      </w:pPr>
      <w:r>
        <w:rPr>
          <w:sz w:val="24"/>
        </w:rPr>
        <w:t xml:space="preserve">б) затраты на содержание объектов недвижимого имущества, а также затраты на аренду указанного имущества;</w:t>
      </w:r>
    </w:p>
    <w:p>
      <w:pPr>
        <w:pStyle w:val="0"/>
        <w:jc w:val="both"/>
      </w:pPr>
      <w:r>
        <w:rPr>
          <w:sz w:val="24"/>
        </w:rPr>
        <w:t xml:space="preserve">(в ред. постановления Правительства Амурской области от 11.11.2016 </w:t>
      </w:r>
      <w:hyperlink w:history="0" r:id="rId114"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bookmarkStart w:id="231" w:name="P231"/>
    <w:bookmarkEnd w:id="231"/>
    <w:p>
      <w:pPr>
        <w:pStyle w:val="0"/>
        <w:spacing w:before="240" w:lineRule="auto"/>
        <w:ind w:firstLine="540"/>
        <w:jc w:val="both"/>
      </w:pPr>
      <w:r>
        <w:rPr>
          <w:sz w:val="24"/>
        </w:rPr>
        <w:t xml:space="preserve">в) затраты на содержание объектов особо ценного движимого имущества, а также затраты на аренду указанного имущества;</w:t>
      </w:r>
    </w:p>
    <w:p>
      <w:pPr>
        <w:pStyle w:val="0"/>
        <w:jc w:val="both"/>
      </w:pPr>
      <w:r>
        <w:rPr>
          <w:sz w:val="24"/>
        </w:rPr>
        <w:t xml:space="preserve">(в ред. постановления Правительства Амурской области от 11.11.2016 </w:t>
      </w:r>
      <w:hyperlink w:history="0" r:id="rId115"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1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пп. "г" п. 18 признан утратившим силу, данное изменение </w:t>
            </w:r>
            <w:hyperlink w:history="0" r:id="rId11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34" w:name="P234"/>
    <w:bookmarkEnd w:id="234"/>
    <w:p>
      <w:pPr>
        <w:pStyle w:val="0"/>
        <w:spacing w:before="300" w:lineRule="auto"/>
        <w:ind w:firstLine="540"/>
        <w:jc w:val="both"/>
      </w:pPr>
      <w:r>
        <w:rPr>
          <w:sz w:val="24"/>
        </w:rPr>
        <w:t xml:space="preserve">г) утратил силу. - Постановление Правительства Амурской области от 28.09.2023 </w:t>
      </w:r>
      <w:hyperlink w:history="0" r:id="rId11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д) затраты на приобретение услуг связи;</w:t>
      </w:r>
    </w:p>
    <w:p>
      <w:pPr>
        <w:pStyle w:val="0"/>
        <w:spacing w:before="240" w:lineRule="auto"/>
        <w:ind w:firstLine="540"/>
        <w:jc w:val="both"/>
      </w:pPr>
      <w:r>
        <w:rPr>
          <w:sz w:val="24"/>
        </w:rPr>
        <w:t xml:space="preserve">е) затраты на приобретение транспортных услуг;</w:t>
      </w:r>
    </w:p>
    <w:p>
      <w:pPr>
        <w:pStyle w:val="0"/>
        <w:spacing w:before="240" w:lineRule="auto"/>
        <w:ind w:firstLine="540"/>
        <w:jc w:val="both"/>
      </w:pPr>
      <w:r>
        <w:rPr>
          <w:sz w:val="24"/>
        </w:rPr>
        <w:t xml:space="preserve">ж) затраты на оплату труда и начисления на выплаты по оплате труда работников, которые не принимают непосредственного участия в оказании государственной услуги;</w:t>
      </w:r>
    </w:p>
    <w:p>
      <w:pPr>
        <w:pStyle w:val="0"/>
        <w:jc w:val="both"/>
      </w:pPr>
      <w:r>
        <w:rPr>
          <w:sz w:val="24"/>
        </w:rPr>
        <w:t xml:space="preserve">(пп. "ж" в ред. постановления Правительства Амурской области от 11.11.2016 </w:t>
      </w:r>
      <w:hyperlink w:history="0" r:id="rId119"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pStyle w:val="0"/>
        <w:spacing w:before="240" w:lineRule="auto"/>
        <w:ind w:firstLine="540"/>
        <w:jc w:val="both"/>
      </w:pPr>
      <w:r>
        <w:rPr>
          <w:sz w:val="24"/>
        </w:rPr>
        <w:t xml:space="preserve">з) затраты на прочие общехозяйственные нужды.</w:t>
      </w:r>
    </w:p>
    <w:bookmarkStart w:id="240" w:name="P240"/>
    <w:bookmarkEnd w:id="240"/>
    <w:p>
      <w:pPr>
        <w:pStyle w:val="0"/>
        <w:spacing w:before="240" w:lineRule="auto"/>
        <w:ind w:firstLine="540"/>
        <w:jc w:val="both"/>
      </w:pPr>
      <w:r>
        <w:rPr>
          <w:sz w:val="24"/>
        </w:rPr>
        <w:t xml:space="preserve">19. В затраты, указанные в </w:t>
      </w:r>
      <w:hyperlink w:history="0" w:anchor="P228" w:tooltip="а) затраты на коммунальные услуги;">
        <w:r>
          <w:rPr>
            <w:sz w:val="24"/>
            <w:color w:val="0000ff"/>
          </w:rPr>
          <w:t xml:space="preserve">подпунктах "а"</w:t>
        </w:r>
      </w:hyperlink>
      <w:r>
        <w:rPr>
          <w:sz w:val="24"/>
        </w:rPr>
        <w:t xml:space="preserve"> - </w:t>
      </w:r>
      <w:hyperlink w:history="0" w:anchor="P231" w:tooltip="в) затраты на содержание объектов особо ценного движимого имущества, а также затраты на аренду указанного имущества;">
        <w:r>
          <w:rPr>
            <w:sz w:val="24"/>
            <w:color w:val="0000ff"/>
          </w:rPr>
          <w:t xml:space="preserve">"в" пункта 18</w:t>
        </w:r>
      </w:hyperlink>
      <w:r>
        <w:rPr>
          <w:sz w:val="24"/>
        </w:rPr>
        <w:t xml:space="preserve"> настоящего Положения, включаются затраты на оказание государственной услуги в отношении имущества учреждения, используемого в том числе на основании договора аренды (финансовой аренды) или договора безвозмездного пользования, для выполнения государственного задания и общехозяйственных нужд (далее - имущество, необходимое для выполнения государственного задания).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20"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абз. второй п. 19 признан утратившим силу, данное изменение </w:t>
            </w:r>
            <w:hyperlink w:history="0" r:id="rId121"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Абзац утратил силу. - Постановление Правительства Амурской области от 28.09.2023 </w:t>
      </w:r>
      <w:hyperlink w:history="0" r:id="rId12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Затраты на аренду имущества, включенные в затраты, указанные в </w:t>
      </w:r>
      <w:hyperlink w:history="0" w:anchor="P221" w:tooltip="б) затраты на приобретение материальных запасов и на приобретение движимого имущества (основных средств и нематериальных активов), не отнесенного к особо ценному движимому имуществу и используемого в процессе оказания государственной услуги, с учетом срока его полезного использования, а также затраты на аренду указанного имущества;">
        <w:r>
          <w:rPr>
            <w:sz w:val="24"/>
            <w:color w:val="0000ff"/>
          </w:rPr>
          <w:t xml:space="preserve">подпункте "б" пункта 17</w:t>
        </w:r>
      </w:hyperlink>
      <w:r>
        <w:rPr>
          <w:sz w:val="24"/>
        </w:rPr>
        <w:t xml:space="preserve"> и </w:t>
      </w:r>
      <w:hyperlink w:history="0" w:anchor="P229" w:tooltip="б) затраты на содержание объектов недвижимого имущества, а также затраты на аренду указанного имущества;">
        <w:r>
          <w:rPr>
            <w:sz w:val="24"/>
            <w:color w:val="0000ff"/>
          </w:rPr>
          <w:t xml:space="preserve">подпунктах "б"</w:t>
        </w:r>
      </w:hyperlink>
      <w:r>
        <w:rPr>
          <w:sz w:val="24"/>
        </w:rPr>
        <w:t xml:space="preserve"> и </w:t>
      </w:r>
      <w:hyperlink w:history="0" w:anchor="P231" w:tooltip="в) затраты на содержание объектов особо ценного движимого имущества, а также затраты на аренду указанного имущества;">
        <w:r>
          <w:rPr>
            <w:sz w:val="24"/>
            <w:color w:val="0000ff"/>
          </w:rPr>
          <w:t xml:space="preserve">"в" пункта 18</w:t>
        </w:r>
      </w:hyperlink>
      <w:r>
        <w:rPr>
          <w:sz w:val="24"/>
        </w:rPr>
        <w:t xml:space="preserve"> настоящего Положения, учитываются в составе указанных затрат в случае, если имущество, необходимое для выполнения государственного задания, не закреплено за областным бюджетным или автономным учреждением на праве оперативного управления.</w:t>
      </w:r>
    </w:p>
    <w:p>
      <w:pPr>
        <w:pStyle w:val="0"/>
        <w:jc w:val="both"/>
      </w:pPr>
      <w:r>
        <w:rPr>
          <w:sz w:val="24"/>
        </w:rPr>
        <w:t xml:space="preserve">(абзац введен постановлением Правительства Амурской области от 05.10.2018 </w:t>
      </w:r>
      <w:hyperlink w:history="0" r:id="rId123"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rPr>
        <w:t xml:space="preserve">)</w:t>
      </w:r>
    </w:p>
    <w:p>
      <w:pPr>
        <w:pStyle w:val="0"/>
        <w:jc w:val="both"/>
      </w:pPr>
      <w:r>
        <w:rPr>
          <w:sz w:val="24"/>
        </w:rPr>
        <w:t xml:space="preserve">(п. 19 в ред. постановления Правительства Амурской области от 11.11.2016 </w:t>
      </w:r>
      <w:hyperlink w:history="0" r:id="rId124"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2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в п. 20 внесены изменения, которые </w:t>
            </w:r>
            <w:hyperlink w:history="0" r:id="rId12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20. Значение базового норматива затрат на оказание государственной услуги утверждается органом исполнительной власти Амурской области, осуществляющим функции по выработке государственной политики и нормативно-правовому регулированию в установленной сфере деятельности, общей суммой, с выделением сумм затрат, указанных в </w:t>
      </w:r>
      <w:hyperlink w:history="0" w:anchor="P217" w:tooltip="17. В базовый норматив затрат, непосредственно связанных с оказанием государственной услуги, включаются:">
        <w:r>
          <w:rPr>
            <w:sz w:val="24"/>
            <w:color w:val="0000ff"/>
          </w:rPr>
          <w:t xml:space="preserve">пунктах 17</w:t>
        </w:r>
      </w:hyperlink>
      <w:r>
        <w:rPr>
          <w:sz w:val="24"/>
        </w:rPr>
        <w:t xml:space="preserve"> и </w:t>
      </w:r>
      <w:hyperlink w:history="0" w:anchor="P227" w:tooltip="18. В базовый норматив затрат на общехозяйственные нужды на оказание государственной услуги включаются:">
        <w:r>
          <w:rPr>
            <w:sz w:val="24"/>
            <w:color w:val="0000ff"/>
          </w:rPr>
          <w:t xml:space="preserve">18</w:t>
        </w:r>
      </w:hyperlink>
      <w:r>
        <w:rPr>
          <w:sz w:val="24"/>
        </w:rPr>
        <w:t xml:space="preserve"> настоящего Положения, используемых при определении значения базового норматива затрат на оказание государственной услуги.</w:t>
      </w:r>
    </w:p>
    <w:p>
      <w:pPr>
        <w:pStyle w:val="0"/>
        <w:spacing w:before="240" w:lineRule="auto"/>
        <w:ind w:firstLine="540"/>
        <w:jc w:val="both"/>
      </w:pPr>
      <w:r>
        <w:rPr>
          <w:sz w:val="24"/>
        </w:rPr>
        <w:t xml:space="preserve">В случае включения в общероссийский базовый перечень или региональный перечень новой государственной услуги значение базового норматива затрат на оказание такой государственной услуги утверждается в течение 30 рабочих дней со дня утверждения соответствующих изменений, внесенных в общероссийский базовый перечень и региональный перечень.</w:t>
      </w:r>
    </w:p>
    <w:p>
      <w:pPr>
        <w:pStyle w:val="0"/>
        <w:jc w:val="both"/>
      </w:pPr>
      <w:r>
        <w:rPr>
          <w:sz w:val="24"/>
        </w:rPr>
        <w:t xml:space="preserve">(п. 20 в ред. постановления Правительства Амурской области от 28.09.2023 </w:t>
      </w:r>
      <w:hyperlink w:history="0" r:id="rId12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2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в п. 21 внесены изменения, которые </w:t>
            </w:r>
            <w:hyperlink w:history="0" r:id="rId129"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21. Корректирующие коэффициенты, применяемые при расчете нормативных затрат на оказание государственной услуги, состоят из территориального корректирующего коэффициента и отраслевого коррелирующего коэффициента либо по решению органа исполнительной власти Амурской области, осуществляющего функции по выработке государственной политики и нормативно-правовому регулированию в установленной сфере деятельности, из нескольких отраслевых корректирующих коэффициентов, а также коэффициентов приведения.</w:t>
      </w:r>
    </w:p>
    <w:p>
      <w:pPr>
        <w:pStyle w:val="0"/>
        <w:jc w:val="both"/>
      </w:pPr>
      <w:r>
        <w:rPr>
          <w:sz w:val="24"/>
        </w:rPr>
        <w:t xml:space="preserve">(п. 21 в ред. постановления Правительства Амурской области от 28.09.2023 </w:t>
      </w:r>
      <w:hyperlink w:history="0" r:id="rId130"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22. В территориальный корректирующий коэффициент включаются территориальный корректирующий коэффициент на оплату труда с начислениями на выплаты по оплате труда и территориальный корректирующий коэффициент на коммунальные услуги и на содержание недвижимого имущества.</w:t>
      </w:r>
    </w:p>
    <w:p>
      <w:pPr>
        <w:pStyle w:val="0"/>
        <w:spacing w:before="240" w:lineRule="auto"/>
        <w:ind w:firstLine="540"/>
        <w:jc w:val="both"/>
      </w:pPr>
      <w:r>
        <w:rPr>
          <w:sz w:val="24"/>
        </w:rPr>
        <w:t xml:space="preserve">Значение территориального корректирующего коэффициента утверждается органом, осуществляющим функции и полномочия учредителя в отношении областных бюджетных или автономных учреждений, с учетом условий, обусловленных территориальными особенностями и составом имущественного комплекса, необходимого для выполнения государственного задания, и рассчитывается в соответствии с общими требованиями.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3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абз. первый п. 23 внесены изменения, которые </w:t>
            </w:r>
            <w:hyperlink w:history="0" r:id="rId132"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56" w:name="P256"/>
    <w:bookmarkEnd w:id="256"/>
    <w:p>
      <w:pPr>
        <w:pStyle w:val="0"/>
        <w:spacing w:before="300" w:lineRule="auto"/>
        <w:ind w:firstLine="540"/>
        <w:jc w:val="both"/>
      </w:pPr>
      <w:r>
        <w:rPr>
          <w:sz w:val="24"/>
        </w:rPr>
        <w:t xml:space="preserve">23. Отраслевой корректирующий коэффициент учитывает показатели отраслевой специфики и определяется в соответствии с общими требованиями.</w:t>
      </w:r>
    </w:p>
    <w:p>
      <w:pPr>
        <w:pStyle w:val="0"/>
        <w:jc w:val="both"/>
      </w:pPr>
      <w:r>
        <w:rPr>
          <w:sz w:val="24"/>
        </w:rPr>
        <w:t xml:space="preserve">(в ред. постановления Правительства Амурской области от 20.12.2019 </w:t>
      </w:r>
      <w:hyperlink w:history="0" r:id="rId133"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Значение отраслевого корректирующего коэффициента утверждается органом исполнительной власти Амурской области, осуществляющим функции по выработке государственной политики и нормативно-правовому регулированию в установленной сфере деятельности.</w:t>
      </w:r>
    </w:p>
    <w:p>
      <w:pPr>
        <w:pStyle w:val="0"/>
        <w:jc w:val="both"/>
      </w:pPr>
      <w:r>
        <w:rPr>
          <w:sz w:val="24"/>
        </w:rPr>
        <w:t xml:space="preserve">(в ред. постановления Правительства Амурской области от 28.09.2023 </w:t>
      </w:r>
      <w:hyperlink w:history="0" r:id="rId134"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3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Положение дополнено п. 23.1, который </w:t>
            </w:r>
            <w:hyperlink w:history="0" r:id="rId13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23.1. В случае необходимости при формировании обоснований бюджетных ассигнований областного бюджета на очередной финансовый год и плановый период уточнения объема финансового обеспечения выполнения государственного задания на оказание государственных услуг в отношении отдельного областного бюджетного или автономного учреждения органом, осуществляющим функции и полномочия учредителя в отношении указанных учреждений, применяются коэффициенты приведения, определяемые в порядке, установленном правовым актом такого органа.</w:t>
      </w:r>
    </w:p>
    <w:p>
      <w:pPr>
        <w:pStyle w:val="0"/>
        <w:jc w:val="both"/>
      </w:pPr>
      <w:r>
        <w:rPr>
          <w:sz w:val="24"/>
        </w:rPr>
        <w:t xml:space="preserve">(п. 23.1 введен постановлением Правительства Амурской области от 28.09.2023 </w:t>
      </w:r>
      <w:hyperlink w:history="0" r:id="rId13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bookmarkStart w:id="263" w:name="P263"/>
    <w:bookmarkEnd w:id="263"/>
    <w:p>
      <w:pPr>
        <w:pStyle w:val="0"/>
        <w:spacing w:before="240" w:lineRule="auto"/>
        <w:ind w:firstLine="540"/>
        <w:jc w:val="both"/>
      </w:pPr>
      <w:r>
        <w:rPr>
          <w:sz w:val="24"/>
        </w:rPr>
        <w:t xml:space="preserve">24. Значения базовых нормативов затрат на оказание государственных услуг и отраслевых корректирующих коэффициентов подлежат размещению в информационной системе "Портал Правительства Амурской области в сети Интернет".</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П. 25 </w:t>
            </w:r>
            <w:hyperlink w:history="0" w:anchor="P89" w:tooltip="5. Пункт 10, абзацы второй и шестой пункта 11 Положения в части нормативных затрат, связанных с выполнением работ в рамках государственного задания, пункты 25 - 29 Положения применяются при расчете объема финансового обеспечения выполнения государственного задания начиная с государственного задания на 2017 год и на плановый период 2018 и 2019 годов.">
              <w:r>
                <w:rPr>
                  <w:sz w:val="24"/>
                  <w:color w:val="0000ff"/>
                </w:rPr>
                <w:t xml:space="preserve">применяется</w:t>
              </w:r>
            </w:hyperlink>
            <w:r>
              <w:rPr>
                <w:sz w:val="24"/>
                <w:color w:val="392c69"/>
              </w:rPr>
              <w:t xml:space="preserve"> при расчете объема финансового обеспечения выполнения государственного задания начиная с государственного задания на 2017 год и на плановый период 2018 и 2019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5" w:name="P265"/>
    <w:bookmarkEnd w:id="265"/>
    <w:p>
      <w:pPr>
        <w:pStyle w:val="0"/>
        <w:spacing w:before="300" w:lineRule="auto"/>
        <w:ind w:firstLine="540"/>
        <w:jc w:val="both"/>
      </w:pPr>
      <w:r>
        <w:rPr>
          <w:sz w:val="24"/>
        </w:rPr>
        <w:t xml:space="preserve">25. Нормативные затраты на выполнение работы определяются при расчете объема финансового обеспечения выполнения государственного задания в порядке, установленном органом, осуществляющим функции и полномочия учредителя в отношении областных бюджетных или автономных учреждений, а также по решению главного распорядителя средств областного бюджета, в ведении которого находятся областные казенные учреждения.</w:t>
      </w:r>
    </w:p>
    <w:p>
      <w:pPr>
        <w:pStyle w:val="0"/>
        <w:spacing w:before="240" w:lineRule="auto"/>
        <w:ind w:firstLine="540"/>
        <w:jc w:val="both"/>
      </w:pPr>
      <w:r>
        <w:rPr>
          <w:sz w:val="24"/>
        </w:rPr>
        <w:t xml:space="preserve">26. Нормативные затраты на выполнение работы рассчитываются на работу в целом или в случае установления в государственном задании показателей объема выполнения работы - на единицу объема работы. В нормативные затраты на выполнение работы включаются в том числе:</w:t>
      </w:r>
    </w:p>
    <w:p>
      <w:pPr>
        <w:pStyle w:val="0"/>
        <w:spacing w:before="240" w:lineRule="auto"/>
        <w:ind w:firstLine="540"/>
        <w:jc w:val="both"/>
      </w:pPr>
      <w:r>
        <w:rPr>
          <w:sz w:val="24"/>
        </w:rPr>
        <w:t xml:space="preserve">а) затраты на оплату труда и начисления на выплаты по оплате труда работников, непосредственно связанных с выполнением работы;</w:t>
      </w:r>
    </w:p>
    <w:p>
      <w:pPr>
        <w:pStyle w:val="0"/>
        <w:jc w:val="both"/>
      </w:pPr>
      <w:r>
        <w:rPr>
          <w:sz w:val="24"/>
        </w:rPr>
        <w:t xml:space="preserve">(пп. "а" в ред. постановления Правительства Амурской области от 11.11.2016 </w:t>
      </w:r>
      <w:hyperlink w:history="0" r:id="rId138"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Пп. "б" п. 26 </w:t>
            </w:r>
            <w:hyperlink w:history="0" r:id="rId139"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применяется</w:t>
              </w:r>
            </w:hyperlink>
            <w:r>
              <w:rPr>
                <w:sz w:val="24"/>
                <w:color w:val="392c69"/>
              </w:rPr>
              <w:t xml:space="preserve"> при расчете объема финансового обеспечения выполнения государственного задания начиная с государственного задания на 2018 год и на плановый период 2019 и 2020 годов (</w:t>
            </w:r>
            <w:hyperlink w:history="0" r:id="rId140"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постановление</w:t>
              </w:r>
            </w:hyperlink>
            <w:r>
              <w:rPr>
                <w:sz w:val="24"/>
                <w:color w:val="392c69"/>
              </w:rPr>
              <w:t xml:space="preserve"> Правительства Амурской области от 11.11.2016 N 496).</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0" w:name="P270"/>
    <w:bookmarkEnd w:id="270"/>
    <w:p>
      <w:pPr>
        <w:pStyle w:val="0"/>
        <w:spacing w:before="300" w:lineRule="auto"/>
        <w:ind w:firstLine="540"/>
        <w:jc w:val="both"/>
      </w:pPr>
      <w:r>
        <w:rPr>
          <w:sz w:val="24"/>
        </w:rPr>
        <w:t xml:space="preserve">б) затраты на приобретение материальных запасов и на приобретение движимого имущества (основных средств и нематериальных активов), не отнесенного к особо ценному движимому имуществу и используемого в процессе выполнения работы, с учетом срока его полезного использования, а также затраты на аренду указанного имущества;</w:t>
      </w:r>
    </w:p>
    <w:p>
      <w:pPr>
        <w:pStyle w:val="0"/>
        <w:jc w:val="both"/>
      </w:pPr>
      <w:r>
        <w:rPr>
          <w:sz w:val="24"/>
        </w:rPr>
        <w:t xml:space="preserve">(пп. "б" в ред. постановления Правительства Амурской области от 11.11.2016 </w:t>
      </w:r>
      <w:hyperlink w:history="0" r:id="rId141"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4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пп. "б.1" п. 26 признан утратившим силу, данное изменение </w:t>
            </w:r>
            <w:hyperlink w:history="0" r:id="rId14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б.1) утратил силу. - Постановление Правительства Амурской области от 28.09.2023 </w:t>
      </w:r>
      <w:hyperlink w:history="0" r:id="rId144"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в) затраты на иные расходы, непосредственно связанные с выполнением работы;</w:t>
      </w:r>
    </w:p>
    <w:p>
      <w:pPr>
        <w:pStyle w:val="0"/>
        <w:spacing w:before="240" w:lineRule="auto"/>
        <w:ind w:firstLine="540"/>
        <w:jc w:val="both"/>
      </w:pPr>
      <w:r>
        <w:rPr>
          <w:sz w:val="24"/>
        </w:rPr>
        <w:t xml:space="preserve">г) затраты на оплату коммунальных услуг;</w:t>
      </w:r>
    </w:p>
    <w:bookmarkStart w:id="276" w:name="P276"/>
    <w:bookmarkEnd w:id="276"/>
    <w:p>
      <w:pPr>
        <w:pStyle w:val="0"/>
        <w:spacing w:before="240" w:lineRule="auto"/>
        <w:ind w:firstLine="540"/>
        <w:jc w:val="both"/>
      </w:pPr>
      <w:r>
        <w:rPr>
          <w:sz w:val="24"/>
        </w:rPr>
        <w:t xml:space="preserve">д) затраты на содержание объектов недвижимого имущества, необходимого для выполнения государственного задания, а также затраты на аренду указанного имущества;</w:t>
      </w:r>
    </w:p>
    <w:p>
      <w:pPr>
        <w:pStyle w:val="0"/>
        <w:jc w:val="both"/>
      </w:pPr>
      <w:r>
        <w:rPr>
          <w:sz w:val="24"/>
        </w:rPr>
        <w:t xml:space="preserve">(в ред. постановления Правительства Амурской области от 11.11.2016 </w:t>
      </w:r>
      <w:hyperlink w:history="0" r:id="rId145"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bookmarkStart w:id="278" w:name="P278"/>
    <w:bookmarkEnd w:id="278"/>
    <w:p>
      <w:pPr>
        <w:pStyle w:val="0"/>
        <w:spacing w:before="240" w:lineRule="auto"/>
        <w:ind w:firstLine="540"/>
        <w:jc w:val="both"/>
      </w:pPr>
      <w:r>
        <w:rPr>
          <w:sz w:val="24"/>
        </w:rPr>
        <w:t xml:space="preserve">е) затраты на содержание объектов особо ценного движимого имущества и имущества, необходимого для выполнения государственного задания, а также затраты на аренду указанного имущества;</w:t>
      </w:r>
    </w:p>
    <w:p>
      <w:pPr>
        <w:pStyle w:val="0"/>
        <w:jc w:val="both"/>
      </w:pPr>
      <w:r>
        <w:rPr>
          <w:sz w:val="24"/>
        </w:rPr>
        <w:t xml:space="preserve">(в ред. постановления Правительства Амурской области от 11.11.2016 </w:t>
      </w:r>
      <w:hyperlink w:history="0" r:id="rId146"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4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пп. "ж" п. 26 признан утратившим силу, данное изменение </w:t>
            </w:r>
            <w:hyperlink w:history="0" r:id="rId148"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ж) утратил силу. - Постановление Правительства Амурской области от 28.09.2023 </w:t>
      </w:r>
      <w:hyperlink w:history="0" r:id="rId149"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з) затраты на приобретение услуг связи;</w:t>
      </w:r>
    </w:p>
    <w:p>
      <w:pPr>
        <w:pStyle w:val="0"/>
        <w:spacing w:before="240" w:lineRule="auto"/>
        <w:ind w:firstLine="540"/>
        <w:jc w:val="both"/>
      </w:pPr>
      <w:r>
        <w:rPr>
          <w:sz w:val="24"/>
        </w:rPr>
        <w:t xml:space="preserve">и) затраты на приобретение транспортных услуг;</w:t>
      </w:r>
    </w:p>
    <w:p>
      <w:pPr>
        <w:pStyle w:val="0"/>
        <w:spacing w:before="240" w:lineRule="auto"/>
        <w:ind w:firstLine="540"/>
        <w:jc w:val="both"/>
      </w:pPr>
      <w:r>
        <w:rPr>
          <w:sz w:val="24"/>
        </w:rPr>
        <w:t xml:space="preserve">к) затраты на оплату труда и начисления на выплаты по оплате труда работников, которые не принимают непосредственного участия в выполнении работы, включая административно-управленческий персонал;</w:t>
      </w:r>
    </w:p>
    <w:p>
      <w:pPr>
        <w:pStyle w:val="0"/>
        <w:jc w:val="both"/>
      </w:pPr>
      <w:r>
        <w:rPr>
          <w:sz w:val="24"/>
        </w:rPr>
        <w:t xml:space="preserve">(пп. "к" в ред. постановления Правительства Амурской области от 11.11.2016 </w:t>
      </w:r>
      <w:hyperlink w:history="0" r:id="rId150"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pStyle w:val="0"/>
        <w:spacing w:before="240" w:lineRule="auto"/>
        <w:ind w:firstLine="540"/>
        <w:jc w:val="both"/>
      </w:pPr>
      <w:r>
        <w:rPr>
          <w:sz w:val="24"/>
        </w:rPr>
        <w:t xml:space="preserve">л) затраты на прочие общехозяйственные нужды.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51"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 26.1 признан утратившим силу, данное изменение </w:t>
            </w:r>
            <w:hyperlink w:history="0" r:id="rId15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26.1. Утратил силу. - Постановление Правительства Амурской области от 28.09.2023 </w:t>
      </w:r>
      <w:hyperlink w:history="0" r:id="rId15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54"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абз. первый п. 27 признан утратившим силу, данное изменение </w:t>
            </w:r>
            <w:hyperlink w:history="0" r:id="rId15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27. Абзац утратил силу. - Постановление Правительства Амурской области от 28.09.2023 </w:t>
      </w:r>
      <w:hyperlink w:history="0" r:id="rId156"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Затраты на аренду имущества, включенные в затраты, указанные в </w:t>
      </w:r>
      <w:hyperlink w:history="0" w:anchor="P270" w:tooltip="б) затраты на приобретение материальных запасов и на приобретение движимого имущества (основных средств и нематериальных активов), не отнесенного к особо ценному движимому имуществу и используемого в процессе выполнения работы, с учетом срока его полезного использования, а также затраты на аренду указанного имущества;">
        <w:r>
          <w:rPr>
            <w:sz w:val="24"/>
            <w:color w:val="0000ff"/>
          </w:rPr>
          <w:t xml:space="preserve">подпунктах "б"</w:t>
        </w:r>
      </w:hyperlink>
      <w:r>
        <w:rPr>
          <w:sz w:val="24"/>
        </w:rPr>
        <w:t xml:space="preserve">, </w:t>
      </w:r>
      <w:hyperlink w:history="0" w:anchor="P276" w:tooltip="д) затраты на содержание объектов недвижимого имущества, необходимого для выполнения государственного задания, а также затраты на аренду указанного имущества;">
        <w:r>
          <w:rPr>
            <w:sz w:val="24"/>
            <w:color w:val="0000ff"/>
          </w:rPr>
          <w:t xml:space="preserve">"д"</w:t>
        </w:r>
      </w:hyperlink>
      <w:r>
        <w:rPr>
          <w:sz w:val="24"/>
        </w:rPr>
        <w:t xml:space="preserve"> и </w:t>
      </w:r>
      <w:hyperlink w:history="0" w:anchor="P278" w:tooltip="е) затраты на содержание объектов особо ценного движимого имущества и имущества, необходимого для выполнения государственного задания, а также затраты на аренду указанного имущества;">
        <w:r>
          <w:rPr>
            <w:sz w:val="24"/>
            <w:color w:val="0000ff"/>
          </w:rPr>
          <w:t xml:space="preserve">"е" пункта 26</w:t>
        </w:r>
      </w:hyperlink>
      <w:r>
        <w:rPr>
          <w:sz w:val="24"/>
        </w:rPr>
        <w:t xml:space="preserve"> настоящего Положения, учитываются в составе указанных затрат в случае, если имущество, необходимое для выполнения государственного задания, не закреплено за областным бюджетным или автономным учреждением на праве оперативного управления.</w:t>
      </w:r>
    </w:p>
    <w:p>
      <w:pPr>
        <w:pStyle w:val="0"/>
        <w:jc w:val="both"/>
      </w:pPr>
      <w:r>
        <w:rPr>
          <w:sz w:val="24"/>
        </w:rPr>
        <w:t xml:space="preserve">(п. 27 в ред. постановления Правительства Амурской области от 05.10.2018 </w:t>
      </w:r>
      <w:hyperlink w:history="0" r:id="rId157"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rPr>
        <w:t xml:space="preserve">)</w:t>
      </w:r>
    </w:p>
    <w:bookmarkStart w:id="293" w:name="P293"/>
    <w:bookmarkEnd w:id="293"/>
    <w:p>
      <w:pPr>
        <w:pStyle w:val="0"/>
        <w:spacing w:before="240" w:lineRule="auto"/>
        <w:ind w:firstLine="540"/>
        <w:jc w:val="both"/>
      </w:pPr>
      <w:r>
        <w:rPr>
          <w:sz w:val="24"/>
        </w:rPr>
        <w:t xml:space="preserve">28. При определении нормативных затрат на выполнение работы применяются показатели материальных, технических и трудовых ресурсов, используемых для выполнения работ, по видам затрат исходя из нормативов их потребления, установленных нормативными правовыми актами Российской Федерации, Амурской области, межгосударственными, национальными (государственными) стандартами Российской Федерации, строительными нормами и правилами, санитарными нормами и правилами, стандартами, порядками, регламентами и паспортами выполнения работ в установленной сфере или на основе усреднения показателей деятельности областного государственного учреждения, которое имеет минимальный объем указанных затрат на выполнение работы в установленной сфере, или на основе медианного значения по областным государственным учреждениям, выполняющим работу в установленной сфере деятельности, в порядке, предусмотренном </w:t>
      </w:r>
      <w:hyperlink w:history="0" w:anchor="P265" w:tooltip="25. Нормативные затраты на выполнение работы определяются при расчете объема финансового обеспечения выполнения государственного задания в порядке, установленном органом, осуществляющим функции и полномочия учредителя в отношении областных бюджетных или автономных учреждений, а также по решению главного распорядителя средств областного бюджета, в ведении которого находятся областные казенные учреждения.">
        <w:r>
          <w:rPr>
            <w:sz w:val="24"/>
            <w:color w:val="0000ff"/>
          </w:rPr>
          <w:t xml:space="preserve">пунктом 25</w:t>
        </w:r>
      </w:hyperlink>
      <w:r>
        <w:rPr>
          <w:sz w:val="24"/>
        </w:rPr>
        <w:t xml:space="preserve"> настоящего Положения.</w:t>
      </w:r>
    </w:p>
    <w:p>
      <w:pPr>
        <w:pStyle w:val="0"/>
        <w:jc w:val="both"/>
      </w:pPr>
      <w:r>
        <w:rPr>
          <w:sz w:val="24"/>
        </w:rPr>
        <w:t xml:space="preserve">(п. 28 в ред. постановления Правительства Амурской области от 05.10.2018 </w:t>
      </w:r>
      <w:hyperlink w:history="0" r:id="rId158" w:tooltip="Постановление Правительства Амурской области от 05.10.2018 N 482 &quot;О внесении изменений в постановление Правительства области от 10 августа 2015 г. N 384&quot; {КонсультантПлюс}">
        <w:r>
          <w:rPr>
            <w:sz w:val="24"/>
            <w:color w:val="0000ff"/>
          </w:rPr>
          <w:t xml:space="preserve">N 482</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П. 29 </w:t>
            </w:r>
            <w:hyperlink w:history="0" w:anchor="P89" w:tooltip="5. Пункт 10, абзацы второй и шестой пункта 11 Положения в части нормативных затрат, связанных с выполнением работ в рамках государственного задания, пункты 25 - 29 Положения применяются при расчете объема финансового обеспечения выполнения государственного задания начиная с государственного задания на 2017 год и на плановый период 2018 и 2019 годов.">
              <w:r>
                <w:rPr>
                  <w:sz w:val="24"/>
                  <w:color w:val="0000ff"/>
                </w:rPr>
                <w:t xml:space="preserve">применяется</w:t>
              </w:r>
            </w:hyperlink>
            <w:r>
              <w:rPr>
                <w:sz w:val="24"/>
                <w:color w:val="392c69"/>
              </w:rPr>
              <w:t xml:space="preserve"> при расчете объема финансового обеспечения выполнения государственного задания начиная с государственного задания на 2017 год и на плановый период 2018 и 2019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6" w:name="P296"/>
    <w:bookmarkEnd w:id="296"/>
    <w:p>
      <w:pPr>
        <w:pStyle w:val="0"/>
        <w:spacing w:before="300" w:lineRule="auto"/>
        <w:ind w:firstLine="540"/>
        <w:jc w:val="both"/>
      </w:pPr>
      <w:r>
        <w:rPr>
          <w:sz w:val="24"/>
        </w:rPr>
        <w:t xml:space="preserve">29. Значения нормативных затрат на выполнение работы утверждаются органом, осуществляющим функции и полномочия учредителя в отношении областных бюджетных или автономных учреждений, а также главным распорядителем средств областного бюджета, в ведении которого находятся областные казенные учреждения (в случае принятия им решения о применении нормативных затрат при расчете объема финансового обеспечения выполнения государственного задания).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Действие п. 30 </w:t>
            </w:r>
            <w:hyperlink w:history="0" w:anchor="P86" w:tooltip="4. Действие пункта 10 (за исключением нормативных затрат, связанных с выполнением работ в рамках государственного задания), пункта 11 (за выполнением работ в рамках государственного задания), пункта 11 (за исключением абзаца второго в части нормативных затрат, связанных с выполнением работ в рамках государственного задания, и абзаца шестого), пунктов 12 - 17, пункта 18 (за исключением подпункта &quot;г&quot;), пунктов 19 - 24, 30 - 35 Положения и приложения N 1 к Положению распространяется на правоотношения, возни...">
              <w:r>
                <w:rPr>
                  <w:sz w:val="24"/>
                  <w:color w:val="0000ff"/>
                </w:rPr>
                <w:t xml:space="preserve">распространяется</w:t>
              </w:r>
            </w:hyperlink>
            <w:r>
              <w:rPr>
                <w:sz w:val="24"/>
                <w:color w:val="392c69"/>
              </w:rPr>
              <w:t xml:space="preserve"> на правоотношения, возникшие при формировании государственного задания и расчете объема финансового обеспечения выполнения государственного задания начиная с государственного задания на 2016 год и на плановый период 2017 и 2018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8" w:name="P298"/>
    <w:bookmarkEnd w:id="298"/>
    <w:p>
      <w:pPr>
        <w:pStyle w:val="0"/>
        <w:spacing w:before="300" w:lineRule="auto"/>
        <w:ind w:firstLine="540"/>
        <w:jc w:val="both"/>
      </w:pPr>
      <w:r>
        <w:rPr>
          <w:sz w:val="24"/>
        </w:rPr>
        <w:t xml:space="preserve">30. В объем финансового обеспечения выполнения государственного задания включаются затраты на уплату налогов, в качестве объекта налогообложения по которым признается имущество учреждения.</w:t>
      </w:r>
    </w:p>
    <w:p>
      <w:pPr>
        <w:pStyle w:val="0"/>
        <w:spacing w:before="240" w:lineRule="auto"/>
        <w:ind w:firstLine="540"/>
        <w:jc w:val="both"/>
      </w:pPr>
      <w:r>
        <w:rPr>
          <w:sz w:val="24"/>
        </w:rPr>
        <w:t xml:space="preserve">В случае если областное бюджетное или автономное учреждение оказывает государственные услуги (выполняет работы) для физических и юридических лиц за плату (далее - платная деятельность) сверх установленного государственного задания, затраты, указанные в </w:t>
      </w:r>
      <w:hyperlink w:history="0" w:anchor="P298" w:tooltip="30. В объем финансового обеспечения выполнения государственного задания включаются затраты на уплату налогов, в качестве объекта налогообложения по которым признается имущество учреждения.">
        <w:r>
          <w:rPr>
            <w:sz w:val="24"/>
            <w:color w:val="0000ff"/>
          </w:rPr>
          <w:t xml:space="preserve">абзаце первом</w:t>
        </w:r>
      </w:hyperlink>
      <w:r>
        <w:rPr>
          <w:sz w:val="24"/>
        </w:rPr>
        <w:t xml:space="preserve"> настоящего пункта, рассчитываются с применением коэффициента платной деятельности, который определяется как отношение планируемого объема финансового обеспечения выполнения государственного задания, исходя из объемов субсидии, полученной из областного бюджета в отчетном финансовом году на указанные цели, к общей сумме, включающей планируемые поступления от субсидии на финансовое обеспечение выполнения государственного задания и доходов платной деятельности, исходя из указанных поступлений, полученных в отчетном финансовом году (далее - коэффициент платной деятельности).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59"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п.п. 31, 31.1, 32 признаны утратившими силу, данное изменение </w:t>
            </w:r>
            <w:hyperlink w:history="0" r:id="rId160"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31 - 32. Утратили силу. - Постановление Правительства Амурской области от 20.12.2019 </w:t>
      </w:r>
      <w:hyperlink w:history="0" r:id="rId16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Действие п.п. 33 - 35 </w:t>
            </w:r>
            <w:hyperlink w:history="0" w:anchor="P86" w:tooltip="4. Действие пункта 10 (за исключением нормативных затрат, связанных с выполнением работ в рамках государственного задания), пункта 11 (за выполнением работ в рамках государственного задания), пункта 11 (за исключением абзаца второго в части нормативных затрат, связанных с выполнением работ в рамках государственного задания, и абзаца шестого), пунктов 12 - 17, пункта 18 (за исключением подпункта &quot;г&quot;), пунктов 19 - 24, 30 - 35 Положения и приложения N 1 к Положению распространяется на правоотношения, возни...">
              <w:r>
                <w:rPr>
                  <w:sz w:val="24"/>
                  <w:color w:val="0000ff"/>
                </w:rPr>
                <w:t xml:space="preserve">распространяется</w:t>
              </w:r>
            </w:hyperlink>
            <w:r>
              <w:rPr>
                <w:sz w:val="24"/>
                <w:color w:val="392c69"/>
              </w:rPr>
              <w:t xml:space="preserve"> на правоотношения, возникшие при формировании государственного задания и расчете объема финансового обеспечения выполнения государственного задания начиная с государственного задания на 2016 год и на плановый период 2017 и 2018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03" w:name="P303"/>
    <w:bookmarkEnd w:id="303"/>
    <w:p>
      <w:pPr>
        <w:pStyle w:val="0"/>
        <w:spacing w:before="300" w:lineRule="auto"/>
        <w:ind w:firstLine="540"/>
        <w:jc w:val="both"/>
      </w:pPr>
      <w:r>
        <w:rPr>
          <w:sz w:val="24"/>
        </w:rPr>
        <w:t xml:space="preserve">33. В случае если областное бюджетное или автономное учреждение осуществляет платную деятельность в рамках установленного государственного задания, по которому в соответствии с федеральными законами предусмотрено взимание платы, объем финансового обеспечения выполнения государственного задания, рассчитанный на основе нормативных затрат (затрат), подлежит уменьшению на объем доходов от платной деятельности исходя из объема государственной услуги (работы), за оказание (выполнение) которой предусмотрено взимание платы, и среднего значения размера платы (цены, тарифа), установленного в государственном задании, органом, осуществляющим функции и полномочия учредителя в отношении областных бюджетных или автономных учреждений, с учетом положений, установленных федеральными законами.</w:t>
      </w:r>
    </w:p>
    <w:p>
      <w:pPr>
        <w:pStyle w:val="0"/>
        <w:spacing w:before="240" w:lineRule="auto"/>
        <w:ind w:firstLine="540"/>
        <w:jc w:val="both"/>
      </w:pPr>
      <w:r>
        <w:rPr>
          <w:sz w:val="24"/>
        </w:rPr>
        <w:t xml:space="preserve">34. В случае если областное государственное учреждение оказывает государственные услуги в рамках установленного государственного задания и получает средства в рамках участия в территориальных программах обязательного медицинского страхования, нормативные затраты (затраты), определяемые в соответствии с настоящим Положением, подлежат уменьшению в размере затрат, включенных в структуру тарифа на оплату медицинской помощи, установленную базовой программой обязательного медицинского страхования.</w:t>
      </w:r>
    </w:p>
    <w:bookmarkStart w:id="305" w:name="P305"/>
    <w:bookmarkEnd w:id="305"/>
    <w:p>
      <w:pPr>
        <w:pStyle w:val="0"/>
        <w:spacing w:before="240" w:lineRule="auto"/>
        <w:ind w:firstLine="540"/>
        <w:jc w:val="both"/>
      </w:pPr>
      <w:r>
        <w:rPr>
          <w:sz w:val="24"/>
        </w:rPr>
        <w:t xml:space="preserve">35. Нормативные затраты (затраты), определяемые в соответствии с настоящим Положением, учитываются при формировании обоснований бюджетных ассигнований областного бюджета на очередной финансовый год и плановый период.</w:t>
      </w:r>
    </w:p>
    <w:p>
      <w:pPr>
        <w:pStyle w:val="0"/>
        <w:spacing w:before="240" w:lineRule="auto"/>
        <w:ind w:firstLine="540"/>
        <w:jc w:val="both"/>
      </w:pPr>
      <w:r>
        <w:rPr>
          <w:sz w:val="24"/>
        </w:rPr>
        <w:t xml:space="preserve">36. Финансовое обеспечение выполнения государственного задания осуществляется в пределах бюджетных ассигнований, предусмотренных в областном бюджете на указанные цели.</w:t>
      </w:r>
    </w:p>
    <w:p>
      <w:pPr>
        <w:pStyle w:val="0"/>
        <w:spacing w:before="240" w:lineRule="auto"/>
        <w:ind w:firstLine="540"/>
        <w:jc w:val="both"/>
      </w:pPr>
      <w:r>
        <w:rPr>
          <w:sz w:val="24"/>
        </w:rPr>
        <w:t xml:space="preserve">Финансовое обеспечение выполнения государственного задания областным бюджетным или автономным учреждением осуществляется путем предоставления субсидии.</w:t>
      </w:r>
    </w:p>
    <w:p>
      <w:pPr>
        <w:pStyle w:val="0"/>
        <w:spacing w:before="240" w:lineRule="auto"/>
        <w:ind w:firstLine="540"/>
        <w:jc w:val="both"/>
      </w:pPr>
      <w:r>
        <w:rPr>
          <w:sz w:val="24"/>
        </w:rPr>
        <w:t xml:space="preserve">Финансовое обеспечение выполнения государственного задания областным казенным учреждением осуществляется в соответствии с показателями бюджетной сметы этого учреждения.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62"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28.09.2023 N 811 Положение дополнено п. 36.1, который </w:t>
            </w:r>
            <w:hyperlink w:history="0" r:id="rId16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применяется</w:t>
              </w:r>
            </w:hyperlink>
            <w:r>
              <w:rPr>
                <w:sz w:val="24"/>
                <w:color w:val="392c69"/>
              </w:rPr>
              <w:t xml:space="preserve"> при формировании государственного задания на оказание государственных услуг (выполнение работ) в отношении областных государственных учреждений и расчете объема финансового обеспечения его выполнения, начиная с государственного задания на оказание государственных услуг (выполнение работ) в отношении областных государственных учреждений на 2024 год и плановый период 2025 и 2026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36.1. В случае если при формировании главным распорядителем средств областного бюджета обоснований бюджетных ассигнований областного бюджета на очередной финансовый год и плановый период объем финансового обеспечения выполнения государственного задания, рассчитанный в соответствии с настоящим Положением, превышает объем бюджетных ассигнований, предусмотренных главному распорядителю средств областного бюджета на предоставление субсидий на финансовое обеспечение выполнения государственного задания, применяется коэффициент выравнивания (К</w:t>
      </w:r>
      <w:r>
        <w:rPr>
          <w:sz w:val="24"/>
          <w:vertAlign w:val="subscript"/>
        </w:rPr>
        <w:t xml:space="preserve">выр</w:t>
      </w:r>
      <w:r>
        <w:rPr>
          <w:sz w:val="24"/>
        </w:rPr>
        <w:t xml:space="preserve">), значение которого не может превышать единицу и определяется по формуле:</w:t>
      </w:r>
    </w:p>
    <w:p>
      <w:pPr>
        <w:pStyle w:val="0"/>
        <w:ind w:firstLine="540"/>
        <w:jc w:val="both"/>
      </w:pPr>
      <w:r>
        <w:rPr>
          <w:sz w:val="24"/>
        </w:rPr>
      </w:r>
    </w:p>
    <w:p>
      <w:pPr>
        <w:pStyle w:val="0"/>
        <w:jc w:val="center"/>
      </w:pPr>
      <w:r>
        <w:rPr>
          <w:position w:val="-30"/>
        </w:rPr>
        <w:drawing>
          <wp:inline distT="0" distB="0" distL="0" distR="0">
            <wp:extent cx="1383030" cy="53721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4">
                      <a:extLst>
                        <a:ext uri="{28A0092B-C50C-407E-A947-70E740481C1C}">
                          <a14:useLocalDpi xmlns:a14="http://schemas.microsoft.com/office/drawing/2010/main" val="0"/>
                        </a:ext>
                      </a:extLst>
                    </a:blip>
                    <a:srcRect/>
                    <a:stretch>
                      <a:fillRect/>
                    </a:stretch>
                  </pic:blipFill>
                  <pic:spPr bwMode="auto">
                    <a:xfrm>
                      <a:off x="0" y="0"/>
                      <a:ext cx="1383030" cy="537210"/>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БА - объем бюджетных ассигнований, предусмотренных в очередном финансовом году в областном бюджете главному распорядителю средств областного бюджета на предоставление субсидий на финансовое обеспечение выполнения государственного задания;</w:t>
      </w:r>
    </w:p>
    <w:p>
      <w:pPr>
        <w:pStyle w:val="0"/>
        <w:spacing w:before="240" w:lineRule="auto"/>
        <w:ind w:firstLine="540"/>
        <w:jc w:val="both"/>
      </w:pPr>
      <w:r>
        <w:rPr>
          <w:sz w:val="24"/>
        </w:rPr>
        <w:t xml:space="preserve">ОФО</w:t>
      </w:r>
      <w:r>
        <w:rPr>
          <w:sz w:val="24"/>
          <w:vertAlign w:val="subscript"/>
        </w:rPr>
        <w:t xml:space="preserve">i</w:t>
      </w:r>
      <w:r>
        <w:rPr>
          <w:sz w:val="24"/>
        </w:rPr>
        <w:t xml:space="preserve"> - планируемый объем субсидии на финансовое обеспечение выполнения государственного задания на очередной финансовый год, необходимый i-му государственному бюджетному или автономному учреждению для выполнения государственного задания.</w:t>
      </w:r>
    </w:p>
    <w:p>
      <w:pPr>
        <w:pStyle w:val="0"/>
        <w:jc w:val="both"/>
      </w:pPr>
      <w:r>
        <w:rPr>
          <w:sz w:val="24"/>
        </w:rPr>
        <w:t xml:space="preserve">(п. 36.1 введен постановлением Правительства Амурской области от 28.09.2023 </w:t>
      </w:r>
      <w:hyperlink w:history="0" r:id="rId16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bookmarkStart w:id="318" w:name="P318"/>
    <w:bookmarkEnd w:id="318"/>
    <w:p>
      <w:pPr>
        <w:pStyle w:val="0"/>
        <w:spacing w:before="240" w:lineRule="auto"/>
        <w:ind w:firstLine="540"/>
        <w:jc w:val="both"/>
      </w:pPr>
      <w:r>
        <w:rPr>
          <w:sz w:val="24"/>
        </w:rPr>
        <w:t xml:space="preserve">37. Финансовое обеспечение оказания государственных услуг (выполнения работ) обособленными подразделениями областного государственного учреждения в случае, установленном </w:t>
      </w:r>
      <w:hyperlink w:history="0" w:anchor="P175" w:tooltip="7. Распределение показателей объема государственных услуг (работ), содержащихся в государственном задании, утвержденном областному государственному учреждению, между созданными им в установленном порядке обособленными подразделениями или внесение изменений в указанные показатели осуществляется в соответствии с положениями настоящего раздела по форме, установленной для государственного задания, предусмотренного приложением N 1 к настоящему Положению, органом, осуществляющим функции и полномочия учредителя...">
        <w:r>
          <w:rPr>
            <w:sz w:val="24"/>
            <w:color w:val="0000ff"/>
          </w:rPr>
          <w:t xml:space="preserve">пунктом 7</w:t>
        </w:r>
      </w:hyperlink>
      <w:r>
        <w:rPr>
          <w:sz w:val="24"/>
        </w:rPr>
        <w:t xml:space="preserve"> настоящего Положения, осуществляется в пределах рассчитанного в соответствии с настоящим Положением объема финансового обеспечения выполнения государственного задания областным государственным учреждением в соответствии с правовым актом областного государственного учреждения, создавшего обособленное подразделение.</w:t>
      </w:r>
    </w:p>
    <w:p>
      <w:pPr>
        <w:pStyle w:val="0"/>
        <w:spacing w:before="240" w:lineRule="auto"/>
        <w:ind w:firstLine="540"/>
        <w:jc w:val="both"/>
      </w:pPr>
      <w:r>
        <w:rPr>
          <w:sz w:val="24"/>
        </w:rPr>
        <w:t xml:space="preserve">Правовой акт, предусмотренный </w:t>
      </w:r>
      <w:hyperlink w:history="0" w:anchor="P318" w:tooltip="37. Финансовое обеспечение оказания государственных услуг (выполнения работ) обособленными подразделениями областного государственного учреждения в случае, установленном пунктом 7 настоящего Положения, осуществляется в пределах рассчитанного в соответствии с настоящим Положением объема финансового обеспечения выполнения государственного задания областным государственным учреждением в соответствии с правовым актом областного государственного учреждения, создавшего обособленное подразделение.">
        <w:r>
          <w:rPr>
            <w:sz w:val="24"/>
            <w:color w:val="0000ff"/>
          </w:rPr>
          <w:t xml:space="preserve">абзацем первым</w:t>
        </w:r>
      </w:hyperlink>
      <w:r>
        <w:rPr>
          <w:sz w:val="24"/>
        </w:rPr>
        <w:t xml:space="preserve"> настоящего пункта, должен содержать также положения об объеме и периодичности перечисления средств на финансовое обеспечение выполнения государственного задания в течение финансового года и порядок взаимодействия областного государственного учреждения с обособленным подразделением.</w:t>
      </w:r>
    </w:p>
    <w:p>
      <w:pPr>
        <w:pStyle w:val="0"/>
        <w:spacing w:before="240" w:lineRule="auto"/>
        <w:ind w:firstLine="540"/>
        <w:jc w:val="both"/>
      </w:pPr>
      <w:r>
        <w:rPr>
          <w:sz w:val="24"/>
        </w:rPr>
        <w:t xml:space="preserve">38. Уменьшение объема субсидии в течение срока выполнения государственного задания осуществляется только при соответствующем изменении государственного задания.</w:t>
      </w:r>
    </w:p>
    <w:p>
      <w:pPr>
        <w:pStyle w:val="0"/>
        <w:spacing w:before="240" w:lineRule="auto"/>
        <w:ind w:firstLine="540"/>
        <w:jc w:val="both"/>
      </w:pPr>
      <w:r>
        <w:rPr>
          <w:sz w:val="24"/>
        </w:rPr>
        <w:t xml:space="preserve">Основаниями для изменения (увеличения или уменьшения) объема субсидии на выполнение государственного задания являются:</w:t>
      </w:r>
    </w:p>
    <w:p>
      <w:pPr>
        <w:pStyle w:val="0"/>
        <w:jc w:val="both"/>
      </w:pPr>
      <w:r>
        <w:rPr>
          <w:sz w:val="24"/>
        </w:rPr>
        <w:t xml:space="preserve">(в ред. постановления Правительства Амурской области от 28.06.2024 </w:t>
      </w:r>
      <w:hyperlink w:history="0" r:id="rId166" w:tooltip="Постановление Правительства Амурской области от 28.06.2024 N 513 &quot;О внесении изменений в постановление Правительства Амурской области от 10 августа 2015 г. N 384&quot; {КонсультантПлюс}">
        <w:r>
          <w:rPr>
            <w:sz w:val="24"/>
            <w:color w:val="0000ff"/>
          </w:rPr>
          <w:t xml:space="preserve">N 513</w:t>
        </w:r>
      </w:hyperlink>
      <w:r>
        <w:rPr>
          <w:sz w:val="24"/>
        </w:rPr>
        <w:t xml:space="preserve">)</w:t>
      </w:r>
    </w:p>
    <w:p>
      <w:pPr>
        <w:pStyle w:val="0"/>
        <w:spacing w:before="240" w:lineRule="auto"/>
        <w:ind w:firstLine="540"/>
        <w:jc w:val="both"/>
      </w:pPr>
      <w:r>
        <w:rPr>
          <w:sz w:val="24"/>
        </w:rPr>
        <w:t xml:space="preserve">а) изменение объемов государственных услуг (работ) в государственном задании, в том числе:</w:t>
      </w:r>
    </w:p>
    <w:p>
      <w:pPr>
        <w:pStyle w:val="0"/>
        <w:spacing w:before="240" w:lineRule="auto"/>
        <w:ind w:firstLine="540"/>
        <w:jc w:val="both"/>
      </w:pPr>
      <w:r>
        <w:rPr>
          <w:sz w:val="24"/>
        </w:rPr>
        <w:t xml:space="preserve">выявление необходимости оказания (выполнения) областным бюджетным и автономным учреждением дополнительных государственных услуг (работ), не установленных в государственном задании;</w:t>
      </w:r>
    </w:p>
    <w:p>
      <w:pPr>
        <w:pStyle w:val="0"/>
        <w:spacing w:before="240" w:lineRule="auto"/>
        <w:ind w:firstLine="540"/>
        <w:jc w:val="both"/>
      </w:pPr>
      <w:r>
        <w:rPr>
          <w:sz w:val="24"/>
        </w:rPr>
        <w:t xml:space="preserve">выявление необходимости перераспределения объемов государственного задания между областными бюджетными и автономными учреждениями (по идентичным государственным услугам (работам));</w:t>
      </w:r>
    </w:p>
    <w:p>
      <w:pPr>
        <w:pStyle w:val="0"/>
        <w:jc w:val="both"/>
      </w:pPr>
      <w:r>
        <w:rPr>
          <w:sz w:val="24"/>
        </w:rPr>
        <w:t xml:space="preserve">(в ред. постановления Правительства Амурской области от 28.06.2024 </w:t>
      </w:r>
      <w:hyperlink w:history="0" r:id="rId167" w:tooltip="Постановление Правительства Амурской области от 28.06.2024 N 513 &quot;О внесении изменений в постановление Правительства Амурской области от 10 августа 2015 г. N 384&quot; {КонсультантПлюс}">
        <w:r>
          <w:rPr>
            <w:sz w:val="24"/>
            <w:color w:val="0000ff"/>
          </w:rPr>
          <w:t xml:space="preserve">N 513</w:t>
        </w:r>
      </w:hyperlink>
      <w:r>
        <w:rPr>
          <w:sz w:val="24"/>
        </w:rPr>
        <w:t xml:space="preserve">)</w:t>
      </w:r>
    </w:p>
    <w:p>
      <w:pPr>
        <w:pStyle w:val="0"/>
        <w:spacing w:before="240" w:lineRule="auto"/>
        <w:ind w:firstLine="540"/>
        <w:jc w:val="both"/>
      </w:pPr>
      <w:r>
        <w:rPr>
          <w:sz w:val="24"/>
        </w:rPr>
        <w:t xml:space="preserve">прогнозируемое невыполнение показателей государственного задания в текущем финансовом году по итогам представления предварительных отчетов о выполнении государственного задания (за 6 и 9 месяцев текущего финансового года) по инициативе органа, осуществляющего функции и полномочия учредителя;</w:t>
      </w:r>
    </w:p>
    <w:p>
      <w:pPr>
        <w:pStyle w:val="0"/>
        <w:jc w:val="both"/>
      </w:pPr>
      <w:r>
        <w:rPr>
          <w:sz w:val="24"/>
        </w:rPr>
        <w:t xml:space="preserve">(абзац введен постановлением Правительства Амурской области от 28.06.2024 </w:t>
      </w:r>
      <w:hyperlink w:history="0" r:id="rId168" w:tooltip="Постановление Правительства Амурской области от 28.06.2024 N 513 &quot;О внесении изменений в постановление Правительства Амурской области от 10 августа 2015 г. N 384&quot; {КонсультантПлюс}">
        <w:r>
          <w:rPr>
            <w:sz w:val="24"/>
            <w:color w:val="0000ff"/>
          </w:rPr>
          <w:t xml:space="preserve">N 513</w:t>
        </w:r>
      </w:hyperlink>
      <w:r>
        <w:rPr>
          <w:sz w:val="24"/>
        </w:rPr>
        <w:t xml:space="preserve">)</w:t>
      </w:r>
    </w:p>
    <w:p>
      <w:pPr>
        <w:pStyle w:val="0"/>
        <w:spacing w:before="240" w:lineRule="auto"/>
        <w:ind w:firstLine="540"/>
        <w:jc w:val="both"/>
      </w:pPr>
      <w:r>
        <w:rPr>
          <w:sz w:val="24"/>
        </w:rPr>
        <w:t xml:space="preserve">б) изменение величины нормативных затрат на выполнение государственного задания (без изменения объемов государственных услуг (работ) в государственном задании), связанных в том числе:</w:t>
      </w:r>
    </w:p>
    <w:p>
      <w:pPr>
        <w:pStyle w:val="0"/>
        <w:spacing w:before="240" w:lineRule="auto"/>
        <w:ind w:firstLine="540"/>
        <w:jc w:val="both"/>
      </w:pPr>
      <w:r>
        <w:rPr>
          <w:sz w:val="24"/>
        </w:rPr>
        <w:t xml:space="preserve">с индексацией заработной платы, увеличением минимального размера оплаты труда, увеличением в текущем финансовом году цен и тарифов, использованных при расчете нормативных затрат на оказание государственных услуг (выполнение работ) при формировании областного бюджета на очередной финансовый год и плановый период, необходимостью доведения бюджетных ассигнований на финансовое обеспечение выполнения государственного задания до уровня отчетного финансового года;</w:t>
      </w:r>
    </w:p>
    <w:p>
      <w:pPr>
        <w:pStyle w:val="0"/>
        <w:spacing w:before="240" w:lineRule="auto"/>
        <w:ind w:firstLine="540"/>
        <w:jc w:val="both"/>
      </w:pPr>
      <w:r>
        <w:rPr>
          <w:sz w:val="24"/>
        </w:rPr>
        <w:t xml:space="preserve">с изменением состава и стоимости имущества областного бюджетного и автономного учреждения, признаваемого в качестве объекта налогообложения по налогу на имущество организаций и земельному налогу;</w:t>
      </w:r>
    </w:p>
    <w:p>
      <w:pPr>
        <w:pStyle w:val="0"/>
        <w:spacing w:before="240" w:lineRule="auto"/>
        <w:ind w:firstLine="540"/>
        <w:jc w:val="both"/>
      </w:pPr>
      <w:r>
        <w:rPr>
          <w:sz w:val="24"/>
        </w:rPr>
        <w:t xml:space="preserve">с изменением законодательства Российской Федерации о налогах и сборах, в том числе в случае отмены ранее установленных налоговых льгот, введения налоговых льгот;</w:t>
      </w:r>
    </w:p>
    <w:p>
      <w:pPr>
        <w:pStyle w:val="0"/>
        <w:spacing w:before="240" w:lineRule="auto"/>
        <w:ind w:firstLine="540"/>
        <w:jc w:val="both"/>
      </w:pPr>
      <w:r>
        <w:rPr>
          <w:sz w:val="24"/>
        </w:rPr>
        <w:t xml:space="preserve">с изменением нормативных затрат на финансовое обеспечение содержания недвижимого имущества и особо ценного движимого имущества в случае сдачи его в аренду с согласия учредителя;</w:t>
      </w:r>
    </w:p>
    <w:p>
      <w:pPr>
        <w:pStyle w:val="0"/>
        <w:spacing w:before="240" w:lineRule="auto"/>
        <w:ind w:firstLine="540"/>
        <w:jc w:val="both"/>
      </w:pPr>
      <w:r>
        <w:rPr>
          <w:sz w:val="24"/>
        </w:rPr>
        <w:t xml:space="preserve">в) случаи, предусмотренные актами Президента Российской Федерации, Правительства Российской Федерации, Правительства Амурской области, реализация которых требует дополнительного выделения (перераспределения) бюджетных ассигнований на финансовое обеспечение выполнения государственного задания.</w:t>
      </w:r>
    </w:p>
    <w:p>
      <w:pPr>
        <w:pStyle w:val="0"/>
        <w:spacing w:before="240" w:lineRule="auto"/>
        <w:ind w:firstLine="540"/>
        <w:jc w:val="both"/>
      </w:pPr>
      <w:r>
        <w:rPr>
          <w:sz w:val="24"/>
        </w:rPr>
        <w:t xml:space="preserve">При досрочном прекращении выполнения государственного задания по установленным в нем основаниям неиспользованные остатки субсидии в размере, соответствующем показателям, характеризующим объем неоказанных государственных услуг (невыполненных работ), подлежат перечислению в установленном порядке областными бюджетными или автономными учреждениями в областной бюджет и учитываются в порядке, установленном для учета сумм возврата дебиторской задолженности.</w:t>
      </w:r>
    </w:p>
    <w:p>
      <w:pPr>
        <w:pStyle w:val="0"/>
        <w:spacing w:before="240" w:lineRule="auto"/>
        <w:ind w:firstLine="540"/>
        <w:jc w:val="both"/>
      </w:pPr>
      <w:r>
        <w:rPr>
          <w:sz w:val="24"/>
        </w:rPr>
        <w:t xml:space="preserve">При досрочном прекращении выполнения государственного задания в связи с реорганизацией областного бюджетного или автономного учреждения неиспользованные остатки субсидии подлежат перечислению соответствующим областным бюджетным и автономным учреждениям, являющимся правопреемниками.</w:t>
      </w:r>
    </w:p>
    <w:p>
      <w:pPr>
        <w:pStyle w:val="0"/>
        <w:spacing w:before="240" w:lineRule="auto"/>
        <w:ind w:firstLine="540"/>
        <w:jc w:val="both"/>
      </w:pPr>
      <w:r>
        <w:rPr>
          <w:sz w:val="24"/>
        </w:rPr>
        <w:t xml:space="preserve">При изменении в течение текущего финансового года типа областного бюджетного или автономного учреждения на казенное неиспользованные остатки субсидии подлежат возврату органу, осуществляющему функции и полномочия учредителя.</w:t>
      </w:r>
    </w:p>
    <w:p>
      <w:pPr>
        <w:pStyle w:val="0"/>
        <w:jc w:val="both"/>
      </w:pPr>
      <w:r>
        <w:rPr>
          <w:sz w:val="24"/>
        </w:rPr>
        <w:t xml:space="preserve">(п. 38 в ред. постановления Правительства Амурской области от 31.03.2023 </w:t>
      </w:r>
      <w:hyperlink w:history="0" r:id="rId169" w:tooltip="Постановление Правительства Амурской области от 31.03.2023 N 304 &quot;О внесении изменений в постановление Правительства Амурской области от 10 августа 2015 г. N 384&quot; {КонсультантПлюс}">
        <w:r>
          <w:rPr>
            <w:sz w:val="24"/>
            <w:color w:val="0000ff"/>
          </w:rPr>
          <w:t xml:space="preserve">N 304</w:t>
        </w:r>
      </w:hyperlink>
      <w:r>
        <w:rPr>
          <w:sz w:val="24"/>
        </w:rPr>
        <w:t xml:space="preserve">)</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П. 38.1 применяется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 (</w:t>
            </w:r>
            <w:hyperlink w:history="0" r:id="rId170"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w:t>
              </w:r>
            </w:hyperlink>
            <w:r>
              <w:rPr>
                <w:sz w:val="24"/>
                <w:color w:val="392c69"/>
              </w:rPr>
              <w:t xml:space="preserve"> Правительства Амурской области от 20.12.2019 N 742).</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1"/>
        <w:spacing w:before="260" w:lineRule="auto"/>
        <w:jc w:val="both"/>
      </w:pPr>
      <w:r>
        <w:rPr>
          <w:sz w:val="20"/>
        </w:rPr>
        <w:t xml:space="preserve">      1</w:t>
      </w:r>
    </w:p>
    <w:p>
      <w:pPr>
        <w:pStyle w:val="1"/>
        <w:jc w:val="both"/>
      </w:pPr>
      <w:r>
        <w:rPr>
          <w:sz w:val="20"/>
        </w:rPr>
        <w:t xml:space="preserve">    38 .  При внесении изменений в показатели государственного  задания при</w:t>
      </w:r>
    </w:p>
    <w:p>
      <w:pPr>
        <w:pStyle w:val="1"/>
        <w:jc w:val="both"/>
      </w:pPr>
      <w:r>
        <w:rPr>
          <w:sz w:val="20"/>
        </w:rPr>
        <w:t xml:space="preserve">реорганизации  областного бюджетного или автономного учреждения (в случаях,</w:t>
      </w:r>
    </w:p>
    <w:p>
      <w:pPr>
        <w:pStyle w:val="1"/>
        <w:jc w:val="both"/>
      </w:pPr>
      <w:r>
        <w:rPr>
          <w:sz w:val="20"/>
        </w:rPr>
        <w:t xml:space="preserve">предусмотренных   </w:t>
      </w:r>
      <w:hyperlink w:history="0" w:anchor="P162" w:tooltip="При реорганизации областного государственного учреждения (слияние, присоединение, выделение, разделение) государственное задание подлежит изменению в части уточнения показателей государственного задания.">
        <w:r>
          <w:rPr>
            <w:sz w:val="20"/>
            <w:color w:val="0000ff"/>
          </w:rPr>
          <w:t xml:space="preserve">абзацами   четвертым</w:t>
        </w:r>
      </w:hyperlink>
      <w:r>
        <w:rPr>
          <w:sz w:val="20"/>
        </w:rPr>
        <w:t xml:space="preserve">   -   </w:t>
      </w:r>
      <w:hyperlink w:history="0" w:anchor="P168" w:tooltip="При реорганизации областного государственного учреждения в форме разделения показатели государственных заданий вновь возникших юридических лиц формируются путем разделения соответствующих показателей государственного задания реорганизованного областного государственного учреждения, прекращающего свою деятельность.">
        <w:r>
          <w:rPr>
            <w:sz w:val="20"/>
            <w:color w:val="0000ff"/>
          </w:rPr>
          <w:t xml:space="preserve">седьмым  пункта  6</w:t>
        </w:r>
      </w:hyperlink>
      <w:r>
        <w:rPr>
          <w:sz w:val="20"/>
        </w:rPr>
        <w:t xml:space="preserve">  настоящего</w:t>
      </w:r>
    </w:p>
    <w:p>
      <w:pPr>
        <w:pStyle w:val="1"/>
        <w:jc w:val="both"/>
      </w:pPr>
      <w:r>
        <w:rPr>
          <w:sz w:val="20"/>
        </w:rPr>
        <w:t xml:space="preserve">Положения):</w:t>
      </w:r>
    </w:p>
    <w:p>
      <w:pPr>
        <w:pStyle w:val="0"/>
        <w:ind w:firstLine="540"/>
        <w:jc w:val="both"/>
      </w:pPr>
      <w:r>
        <w:rPr>
          <w:sz w:val="24"/>
        </w:rPr>
      </w:r>
    </w:p>
    <w:p>
      <w:pPr>
        <w:pStyle w:val="0"/>
        <w:ind w:firstLine="540"/>
        <w:jc w:val="both"/>
      </w:pPr>
      <w:r>
        <w:rPr>
          <w:sz w:val="24"/>
        </w:rPr>
        <w:t xml:space="preserve">в форме присоединения или слияния - объем субсидии, предоставляемой областному бюджетному или автономному учреждению-правопреемнику, устанавливается с учетом объемов субсидий, предоставленных реорганизованным учреждениям, прекращающим свою деятельность, путем их суммирования;</w:t>
      </w:r>
    </w:p>
    <w:p>
      <w:pPr>
        <w:pStyle w:val="0"/>
        <w:spacing w:before="240" w:lineRule="auto"/>
        <w:ind w:firstLine="540"/>
        <w:jc w:val="both"/>
      </w:pPr>
      <w:r>
        <w:rPr>
          <w:sz w:val="24"/>
        </w:rPr>
        <w:t xml:space="preserve">в форме выделения - объем субсидии, предоставляемой областному бюджетному или автономному учреждению, реорганизованному путем выделения из него других учреждений, подлежит уменьшению на объем субсидий, предоставляемых вновь возникшим юридическим лицам;</w:t>
      </w:r>
    </w:p>
    <w:p>
      <w:pPr>
        <w:pStyle w:val="0"/>
        <w:spacing w:before="240" w:lineRule="auto"/>
        <w:ind w:firstLine="540"/>
        <w:jc w:val="both"/>
      </w:pPr>
      <w:r>
        <w:rPr>
          <w:sz w:val="24"/>
        </w:rPr>
        <w:t xml:space="preserve">в форме разделения - объем субсидии, предоставляемой вновь возникшим юридическим лицам, формируется путем разделения объема субсидии, предоставленной областному бюджетному или автономному учреждению, прекращающему свою деятельность в результате реорганизации.</w:t>
      </w:r>
    </w:p>
    <w:p>
      <w:pPr>
        <w:pStyle w:val="0"/>
        <w:spacing w:before="240" w:lineRule="auto"/>
        <w:ind w:firstLine="540"/>
        <w:jc w:val="both"/>
      </w:pPr>
      <w:r>
        <w:rPr>
          <w:sz w:val="24"/>
        </w:rPr>
        <w:t xml:space="preserve">Объем субсидий, предоставленных учреждениям, прекращающим свою деятельность в результате реорганизации, принимает нулевое значение.</w:t>
      </w:r>
    </w:p>
    <w:p>
      <w:pPr>
        <w:pStyle w:val="0"/>
        <w:spacing w:before="240" w:lineRule="auto"/>
        <w:ind w:firstLine="540"/>
        <w:jc w:val="both"/>
      </w:pPr>
      <w:r>
        <w:rPr>
          <w:sz w:val="24"/>
        </w:rPr>
        <w:t xml:space="preserve">После завершения реорганизации объем субсидий, предоставляемых реорганизованным областным бюджетным или автономным учреждениям, за исключением областных бюджетных или автономных учреждений, прекращающих свою деятельность в результате реорганизации, должен соответствовать объему субсидии, предоставленной областному бюджетному или автономному учреждению до начала реорганизации.</w:t>
      </w:r>
    </w:p>
    <w:p>
      <w:pPr>
        <w:pStyle w:val="0"/>
        <w:jc w:val="both"/>
      </w:pPr>
      <w:r>
        <w:rPr>
          <w:sz w:val="24"/>
        </w:rPr>
        <w:t xml:space="preserve">(п. 38.1 введен постановлением Правительства Амурской области от 20.12.2019 </w:t>
      </w:r>
      <w:hyperlink w:history="0" r:id="rId17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bookmarkStart w:id="353" w:name="P353"/>
    <w:bookmarkEnd w:id="353"/>
    <w:p>
      <w:pPr>
        <w:pStyle w:val="0"/>
        <w:spacing w:before="240" w:lineRule="auto"/>
        <w:ind w:firstLine="540"/>
        <w:jc w:val="both"/>
      </w:pPr>
      <w:r>
        <w:rPr>
          <w:sz w:val="24"/>
        </w:rPr>
        <w:t xml:space="preserve">39. Областные бюджетные и автономные учреждения, областные казенные учреждения представляют соответственно органам, осуществляющим функции и полномочия учредителей в отношении областных бюджетных или автономных учреждений, главным распорядителям средств областного бюджета, в ведении которых находятся областные казенные учреждения, </w:t>
      </w:r>
      <w:hyperlink w:history="0" w:anchor="P780" w:tooltip="Отчет">
        <w:r>
          <w:rPr>
            <w:sz w:val="24"/>
            <w:color w:val="0000ff"/>
          </w:rPr>
          <w:t xml:space="preserve">отчет</w:t>
        </w:r>
      </w:hyperlink>
      <w:r>
        <w:rPr>
          <w:sz w:val="24"/>
        </w:rPr>
        <w:t xml:space="preserve"> о выполнении государственного задания, предусмотренный приложением N 2 к настоящему Положению, в соответствии с требованиями, установленными в государственном задании.</w:t>
      </w:r>
    </w:p>
    <w:p>
      <w:pPr>
        <w:pStyle w:val="0"/>
        <w:spacing w:before="240" w:lineRule="auto"/>
        <w:ind w:firstLine="540"/>
        <w:jc w:val="both"/>
      </w:pPr>
      <w:r>
        <w:rPr>
          <w:sz w:val="24"/>
        </w:rPr>
        <w:t xml:space="preserve">Указанный отчет представляется в сроки, установленные государственным заданием, но не позднее 1 марта финансового года, следующего за отчетным.</w:t>
      </w:r>
    </w:p>
    <w:p>
      <w:pPr>
        <w:pStyle w:val="0"/>
        <w:jc w:val="both"/>
      </w:pPr>
      <w:r>
        <w:rPr>
          <w:sz w:val="24"/>
        </w:rPr>
        <w:t xml:space="preserve">(абзац введен постановлением Правительства Амурской области от 11.11.2016 </w:t>
      </w:r>
      <w:hyperlink w:history="0" r:id="rId172"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pStyle w:val="0"/>
        <w:spacing w:before="240" w:lineRule="auto"/>
        <w:ind w:firstLine="540"/>
        <w:jc w:val="both"/>
      </w:pPr>
      <w:r>
        <w:rPr>
          <w:sz w:val="24"/>
        </w:rPr>
        <w:t xml:space="preserve">40. Контроль за выполнением государственного задания областными бюджетными и автономными учреждениями, областными казенными учреждениями осуществляют соответственно органы, осуществляющие функции и полномочия учредителя в отношении областных бюджетных или автономных учреждений, и главные распорядители средств областного бюджета, в ведении которых находятся областные казенные учреждения, а также органы государственного финансового контроля области.</w:t>
      </w:r>
    </w:p>
    <w:p>
      <w:pPr>
        <w:pStyle w:val="0"/>
        <w:spacing w:before="240" w:lineRule="auto"/>
        <w:ind w:firstLine="540"/>
        <w:jc w:val="both"/>
      </w:pPr>
      <w:r>
        <w:rPr>
          <w:sz w:val="24"/>
        </w:rPr>
        <w:t xml:space="preserve">Правила осуществления контроля органами, осуществляющими функции и полномочия учредителей, и главными распорядителями средств областного бюджета, в ведении которых находятся областные казенные учреждения, за выполнением государственного задания устанавливаются указанными органами.</w:t>
      </w:r>
    </w:p>
    <w:p>
      <w:pPr>
        <w:pStyle w:val="0"/>
        <w:jc w:val="both"/>
      </w:pPr>
      <w:r>
        <w:rPr>
          <w:sz w:val="24"/>
        </w:rPr>
        <w:t xml:space="preserve">(абзац введен постановлением Правительства Амурской области от 11.11.2016 </w:t>
      </w:r>
      <w:hyperlink w:history="0" r:id="rId173"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rPr>
        <w:t xml:space="preserve">)</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1"/>
        <w:jc w:val="right"/>
      </w:pPr>
      <w:r>
        <w:rPr>
          <w:sz w:val="24"/>
        </w:rPr>
        <w:t xml:space="preserve">Приложение N 1</w:t>
      </w:r>
    </w:p>
    <w:p>
      <w:pPr>
        <w:pStyle w:val="0"/>
        <w:jc w:val="right"/>
      </w:pPr>
      <w:r>
        <w:rPr>
          <w:sz w:val="24"/>
        </w:rPr>
        <w:t xml:space="preserve">к Положению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20.12.2019 </w:t>
            </w:r>
            <w:hyperlink w:history="0" r:id="rId174"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color w:val="392c69"/>
              </w:rPr>
              <w:t xml:space="preserve">, от 28.09.2023 </w:t>
            </w:r>
            <w:hyperlink w:history="0" r:id="rId175"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color w:val="392c69"/>
              </w:rPr>
              <w:t xml:space="preserve">,</w:t>
            </w:r>
          </w:p>
          <w:p>
            <w:pPr>
              <w:pStyle w:val="0"/>
              <w:jc w:val="center"/>
            </w:pPr>
            <w:r>
              <w:rPr>
                <w:sz w:val="24"/>
                <w:color w:val="392c69"/>
              </w:rPr>
              <w:t xml:space="preserve">от 28.12.2023 </w:t>
            </w:r>
            <w:hyperlink w:history="0" r:id="rId176"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77"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приложение N 1 внесены изменения, которые </w:t>
            </w:r>
            <w:hyperlink w:history="0" r:id="rId178"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CellMar>
          <w:top w:w="102" w:type="dxa"/>
          <w:left w:w="62" w:type="dxa"/>
          <w:bottom w:w="102" w:type="dxa"/>
          <w:right w:w="62" w:type="dxa"/>
        </w:tblCellMar>
      </w:tblPr>
      <w:tblGrid>
        <w:gridCol w:w="6803"/>
        <w:gridCol w:w="397"/>
        <w:gridCol w:w="510"/>
        <w:gridCol w:w="340"/>
        <w:gridCol w:w="454"/>
        <w:gridCol w:w="340"/>
        <w:gridCol w:w="340"/>
        <w:gridCol w:w="794"/>
        <w:gridCol w:w="510"/>
        <w:gridCol w:w="340"/>
        <w:gridCol w:w="450"/>
        <w:gridCol w:w="2324"/>
      </w:tblGrid>
      <w:tr>
        <w:tc>
          <w:tcPr>
            <w:tcW w:w="6803" w:type="dxa"/>
            <w:tcBorders>
              <w:top w:val="nil"/>
              <w:left w:val="nil"/>
              <w:bottom w:val="nil"/>
              <w:right w:val="nil"/>
            </w:tcBorders>
          </w:tcPr>
          <w:p>
            <w:pPr>
              <w:pStyle w:val="0"/>
            </w:pPr>
            <w:r>
              <w:rPr>
                <w:sz w:val="24"/>
              </w:rPr>
            </w:r>
          </w:p>
        </w:tc>
        <w:tc>
          <w:tcPr>
            <w:gridSpan w:val="11"/>
            <w:tcW w:w="6799" w:type="dxa"/>
            <w:tcBorders>
              <w:top w:val="nil"/>
              <w:left w:val="nil"/>
              <w:bottom w:val="nil"/>
              <w:right w:val="nil"/>
            </w:tcBorders>
          </w:tcPr>
          <w:p>
            <w:pPr>
              <w:pStyle w:val="0"/>
            </w:pPr>
            <w:r>
              <w:rPr>
                <w:sz w:val="24"/>
              </w:rPr>
              <w:t xml:space="preserve">УТВЕРЖДАЮ</w:t>
            </w:r>
          </w:p>
        </w:tc>
      </w:tr>
      <w:tr>
        <w:tc>
          <w:tcPr>
            <w:tcW w:w="6803" w:type="dxa"/>
            <w:tcBorders>
              <w:top w:val="nil"/>
              <w:left w:val="nil"/>
              <w:bottom w:val="nil"/>
              <w:right w:val="nil"/>
            </w:tcBorders>
          </w:tcPr>
          <w:p>
            <w:pPr>
              <w:pStyle w:val="0"/>
            </w:pPr>
            <w:r>
              <w:rPr>
                <w:sz w:val="24"/>
              </w:rPr>
            </w:r>
          </w:p>
        </w:tc>
        <w:tc>
          <w:tcPr>
            <w:gridSpan w:val="11"/>
            <w:tcW w:w="6799" w:type="dxa"/>
            <w:tcBorders>
              <w:top w:val="nil"/>
              <w:left w:val="nil"/>
              <w:bottom w:val="nil"/>
              <w:right w:val="nil"/>
            </w:tcBorders>
          </w:tcPr>
          <w:p>
            <w:pPr>
              <w:pStyle w:val="0"/>
            </w:pPr>
            <w:r>
              <w:rPr>
                <w:sz w:val="24"/>
              </w:rPr>
              <w:t xml:space="preserve">Руководитель (уполномоченное лицо)</w:t>
            </w:r>
          </w:p>
        </w:tc>
      </w:tr>
      <w:tr>
        <w:tc>
          <w:tcPr>
            <w:tcW w:w="6803" w:type="dxa"/>
            <w:tcBorders>
              <w:top w:val="nil"/>
              <w:left w:val="nil"/>
              <w:bottom w:val="nil"/>
              <w:right w:val="nil"/>
            </w:tcBorders>
          </w:tcPr>
          <w:p>
            <w:pPr>
              <w:pStyle w:val="0"/>
            </w:pPr>
            <w:r>
              <w:rPr>
                <w:sz w:val="24"/>
              </w:rPr>
            </w:r>
          </w:p>
        </w:tc>
        <w:tc>
          <w:tcPr>
            <w:gridSpan w:val="11"/>
            <w:tcW w:w="6799" w:type="dxa"/>
            <w:tcBorders>
              <w:top w:val="nil"/>
              <w:left w:val="nil"/>
              <w:bottom w:val="single" w:sz="4"/>
              <w:right w:val="nil"/>
            </w:tcBorders>
          </w:tcPr>
          <w:p>
            <w:pPr>
              <w:pStyle w:val="0"/>
            </w:pPr>
            <w:r>
              <w:rPr>
                <w:sz w:val="24"/>
              </w:rPr>
            </w:r>
          </w:p>
        </w:tc>
      </w:tr>
      <w:tr>
        <w:tc>
          <w:tcPr>
            <w:tcW w:w="6803" w:type="dxa"/>
            <w:tcBorders>
              <w:top w:val="nil"/>
              <w:left w:val="nil"/>
              <w:bottom w:val="nil"/>
              <w:right w:val="nil"/>
            </w:tcBorders>
          </w:tcPr>
          <w:p>
            <w:pPr>
              <w:pStyle w:val="0"/>
            </w:pPr>
            <w:r>
              <w:rPr>
                <w:sz w:val="24"/>
              </w:rPr>
            </w:r>
          </w:p>
        </w:tc>
        <w:tc>
          <w:tcPr>
            <w:gridSpan w:val="11"/>
            <w:tcW w:w="6799" w:type="dxa"/>
            <w:tcBorders>
              <w:top w:val="single" w:sz="4"/>
              <w:left w:val="nil"/>
              <w:bottom w:val="nil"/>
              <w:right w:val="nil"/>
            </w:tcBorders>
          </w:tcPr>
          <w:p>
            <w:pPr>
              <w:pStyle w:val="0"/>
              <w:jc w:val="center"/>
            </w:pPr>
            <w:r>
              <w:rPr>
                <w:sz w:val="24"/>
              </w:rPr>
              <w:t xml:space="preserve">(наименование органа, осуществляющего функции и полномочия учредителя, главного распорядителя средств областного бюджета, областного государственного учреждения)</w:t>
            </w:r>
          </w:p>
        </w:tc>
      </w:tr>
      <w:tr>
        <w:tc>
          <w:tcPr>
            <w:gridSpan w:val="12"/>
            <w:tcW w:w="13602" w:type="dxa"/>
            <w:tcBorders>
              <w:top w:val="nil"/>
              <w:left w:val="nil"/>
              <w:bottom w:val="nil"/>
              <w:right w:val="nil"/>
            </w:tcBorders>
          </w:tcPr>
          <w:p>
            <w:pPr>
              <w:pStyle w:val="0"/>
            </w:pPr>
            <w:r>
              <w:rPr>
                <w:sz w:val="24"/>
              </w:rPr>
            </w:r>
          </w:p>
        </w:tc>
      </w:tr>
      <w:tr>
        <w:tc>
          <w:tcPr>
            <w:tcW w:w="6803" w:type="dxa"/>
            <w:tcBorders>
              <w:top w:val="nil"/>
              <w:left w:val="nil"/>
              <w:bottom w:val="nil"/>
              <w:right w:val="nil"/>
            </w:tcBorders>
          </w:tcPr>
          <w:p>
            <w:pPr>
              <w:pStyle w:val="0"/>
            </w:pPr>
            <w:r>
              <w:rPr>
                <w:sz w:val="24"/>
              </w:rPr>
            </w:r>
          </w:p>
        </w:tc>
        <w:tc>
          <w:tcPr>
            <w:gridSpan w:val="5"/>
            <w:tcW w:w="204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gridSpan w:val="2"/>
            <w:tcW w:w="1304"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gridSpan w:val="2"/>
            <w:tcW w:w="2774" w:type="dxa"/>
            <w:tcBorders>
              <w:top w:val="nil"/>
              <w:left w:val="nil"/>
              <w:bottom w:val="single" w:sz="4"/>
              <w:right w:val="nil"/>
            </w:tcBorders>
          </w:tcPr>
          <w:p>
            <w:pPr>
              <w:pStyle w:val="0"/>
            </w:pPr>
            <w:r>
              <w:rPr>
                <w:sz w:val="24"/>
              </w:rPr>
            </w:r>
          </w:p>
        </w:tc>
      </w:tr>
      <w:tr>
        <w:tc>
          <w:tcPr>
            <w:tcW w:w="6803" w:type="dxa"/>
            <w:tcBorders>
              <w:top w:val="nil"/>
              <w:left w:val="nil"/>
              <w:bottom w:val="nil"/>
              <w:right w:val="nil"/>
            </w:tcBorders>
          </w:tcPr>
          <w:p>
            <w:pPr>
              <w:pStyle w:val="0"/>
            </w:pPr>
            <w:r>
              <w:rPr>
                <w:sz w:val="24"/>
              </w:rPr>
            </w:r>
          </w:p>
        </w:tc>
        <w:tc>
          <w:tcPr>
            <w:gridSpan w:val="5"/>
            <w:tcW w:w="2041"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gridSpan w:val="2"/>
            <w:tcW w:w="1304"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gridSpan w:val="2"/>
            <w:tcW w:w="2774" w:type="dxa"/>
            <w:tcBorders>
              <w:top w:val="single" w:sz="4"/>
              <w:left w:val="nil"/>
              <w:bottom w:val="nil"/>
              <w:right w:val="nil"/>
            </w:tcBorders>
          </w:tcPr>
          <w:p>
            <w:pPr>
              <w:pStyle w:val="0"/>
              <w:jc w:val="center"/>
            </w:pPr>
            <w:r>
              <w:rPr>
                <w:sz w:val="24"/>
              </w:rPr>
              <w:t xml:space="preserve">(расшифровка подписи)</w:t>
            </w:r>
          </w:p>
        </w:tc>
      </w:tr>
      <w:tr>
        <w:tc>
          <w:tcPr>
            <w:tcW w:w="6803" w:type="dxa"/>
            <w:tcBorders>
              <w:top w:val="nil"/>
              <w:left w:val="nil"/>
              <w:bottom w:val="nil"/>
              <w:right w:val="nil"/>
            </w:tcBorders>
          </w:tcPr>
          <w:p>
            <w:pPr>
              <w:pStyle w:val="0"/>
            </w:pPr>
            <w:r>
              <w:rPr>
                <w:sz w:val="24"/>
              </w:rPr>
            </w:r>
          </w:p>
        </w:tc>
        <w:tc>
          <w:tcPr>
            <w:tcW w:w="397" w:type="dxa"/>
            <w:tcBorders>
              <w:top w:val="nil"/>
              <w:left w:val="nil"/>
              <w:bottom w:val="nil"/>
              <w:right w:val="nil"/>
            </w:tcBorders>
          </w:tcPr>
          <w:p>
            <w:pPr>
              <w:pStyle w:val="0"/>
              <w:jc w:val="right"/>
            </w:pPr>
            <w:r>
              <w:rPr>
                <w:sz w:val="24"/>
              </w:rPr>
              <w:t xml:space="preserve">"</w:t>
            </w:r>
          </w:p>
        </w:tc>
        <w:tc>
          <w:tcPr>
            <w:tcW w:w="510"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both"/>
            </w:pPr>
            <w:r>
              <w:rPr>
                <w:sz w:val="24"/>
              </w:rPr>
              <w:t xml:space="preserve">"</w:t>
            </w:r>
          </w:p>
        </w:tc>
        <w:tc>
          <w:tcPr>
            <w:gridSpan w:val="4"/>
            <w:tcW w:w="1928" w:type="dxa"/>
            <w:tcBorders>
              <w:top w:val="nil"/>
              <w:left w:val="nil"/>
              <w:bottom w:val="single" w:sz="4"/>
              <w:right w:val="nil"/>
            </w:tcBorders>
          </w:tcPr>
          <w:p>
            <w:pPr>
              <w:pStyle w:val="0"/>
            </w:pPr>
            <w:r>
              <w:rPr>
                <w:sz w:val="24"/>
              </w:rPr>
            </w:r>
          </w:p>
        </w:tc>
        <w:tc>
          <w:tcPr>
            <w:gridSpan w:val="2"/>
            <w:tcW w:w="850" w:type="dxa"/>
            <w:tcBorders>
              <w:top w:val="nil"/>
              <w:left w:val="nil"/>
              <w:bottom w:val="nil"/>
              <w:right w:val="nil"/>
            </w:tcBorders>
          </w:tcPr>
          <w:p>
            <w:pPr>
              <w:pStyle w:val="0"/>
              <w:jc w:val="right"/>
            </w:pPr>
            <w:r>
              <w:rPr>
                <w:sz w:val="24"/>
              </w:rPr>
              <w:t xml:space="preserve">20</w:t>
            </w:r>
          </w:p>
        </w:tc>
        <w:tc>
          <w:tcPr>
            <w:tcW w:w="450" w:type="dxa"/>
            <w:tcBorders>
              <w:top w:val="nil"/>
              <w:left w:val="nil"/>
              <w:bottom w:val="single" w:sz="4"/>
              <w:right w:val="nil"/>
            </w:tcBorders>
          </w:tcPr>
          <w:p>
            <w:pPr>
              <w:pStyle w:val="0"/>
            </w:pPr>
            <w:r>
              <w:rPr>
                <w:sz w:val="24"/>
              </w:rPr>
            </w:r>
          </w:p>
        </w:tc>
        <w:tc>
          <w:tcPr>
            <w:tcW w:w="2324" w:type="dxa"/>
            <w:tcBorders>
              <w:top w:val="nil"/>
              <w:left w:val="nil"/>
              <w:bottom w:val="nil"/>
              <w:right w:val="nil"/>
            </w:tcBorders>
          </w:tcPr>
          <w:p>
            <w:pPr>
              <w:pStyle w:val="0"/>
              <w:jc w:val="both"/>
            </w:pPr>
            <w:r>
              <w:rPr>
                <w:sz w:val="24"/>
              </w:rPr>
              <w:t xml:space="preserve">г.</w:t>
            </w:r>
          </w:p>
        </w:tc>
      </w:tr>
      <w:tr>
        <w:tc>
          <w:tcPr>
            <w:gridSpan w:val="12"/>
            <w:tcW w:w="13602" w:type="dxa"/>
            <w:tcBorders>
              <w:top w:val="nil"/>
              <w:left w:val="nil"/>
              <w:bottom w:val="nil"/>
              <w:right w:val="nil"/>
            </w:tcBorders>
          </w:tcPr>
          <w:p>
            <w:pPr>
              <w:pStyle w:val="0"/>
            </w:pPr>
            <w:r>
              <w:rPr>
                <w:sz w:val="24"/>
              </w:rPr>
            </w:r>
          </w:p>
        </w:tc>
      </w:tr>
      <w:tr>
        <w:tc>
          <w:tcPr>
            <w:gridSpan w:val="12"/>
            <w:tcW w:w="13602" w:type="dxa"/>
            <w:tcBorders>
              <w:top w:val="nil"/>
              <w:left w:val="nil"/>
              <w:bottom w:val="nil"/>
              <w:right w:val="nil"/>
            </w:tcBorders>
          </w:tcPr>
          <w:bookmarkStart w:id="402" w:name="P402"/>
          <w:bookmarkEnd w:id="402"/>
          <w:p>
            <w:pPr>
              <w:pStyle w:val="0"/>
              <w:jc w:val="center"/>
            </w:pPr>
            <w:r>
              <w:rPr>
                <w:sz w:val="24"/>
                <w:b w:val="on"/>
              </w:rPr>
              <w:t xml:space="preserve">Государственное задание N</w:t>
            </w:r>
          </w:p>
        </w:tc>
      </w:tr>
      <w:tr>
        <w:tc>
          <w:tcPr>
            <w:gridSpan w:val="12"/>
            <w:tcW w:w="13602" w:type="dxa"/>
            <w:tcBorders>
              <w:top w:val="nil"/>
              <w:left w:val="nil"/>
              <w:bottom w:val="nil"/>
              <w:right w:val="nil"/>
            </w:tcBorders>
          </w:tcPr>
          <w:p>
            <w:pPr>
              <w:pStyle w:val="0"/>
              <w:jc w:val="center"/>
            </w:pPr>
            <w:r>
              <w:rPr>
                <w:sz w:val="24"/>
              </w:rPr>
              <w:t xml:space="preserve">на 20__ год и плановый период 20__ и 20__ годов</w:t>
            </w:r>
          </w:p>
        </w:tc>
      </w:tr>
      <w:tr>
        <w:tc>
          <w:tcPr>
            <w:gridSpan w:val="12"/>
            <w:tcW w:w="13602" w:type="dxa"/>
            <w:tcBorders>
              <w:top w:val="nil"/>
              <w:left w:val="nil"/>
              <w:bottom w:val="nil"/>
              <w:right w:val="nil"/>
            </w:tcBorders>
          </w:tcPr>
          <w:p>
            <w:pPr>
              <w:pStyle w:val="0"/>
            </w:pPr>
            <w:r>
              <w:rPr>
                <w:sz w:val="24"/>
              </w:rPr>
            </w:r>
          </w:p>
        </w:tc>
      </w:tr>
      <w:tr>
        <w:tc>
          <w:tcPr>
            <w:gridSpan w:val="5"/>
            <w:tcW w:w="8504" w:type="dxa"/>
            <w:tcBorders>
              <w:top w:val="nil"/>
              <w:left w:val="nil"/>
              <w:bottom w:val="nil"/>
              <w:right w:val="nil"/>
            </w:tcBorders>
          </w:tcPr>
          <w:p>
            <w:pPr>
              <w:pStyle w:val="0"/>
            </w:pPr>
            <w:r>
              <w:rPr>
                <w:sz w:val="24"/>
              </w:rPr>
              <w:t xml:space="preserve">Наименование областного государственного учреждения</w:t>
            </w:r>
          </w:p>
        </w:tc>
        <w:tc>
          <w:tcPr>
            <w:gridSpan w:val="7"/>
            <w:tcW w:w="5098" w:type="dxa"/>
            <w:tcBorders>
              <w:top w:val="nil"/>
              <w:left w:val="nil"/>
              <w:bottom w:val="single" w:sz="4"/>
              <w:right w:val="nil"/>
            </w:tcBorders>
          </w:tcPr>
          <w:p>
            <w:pPr>
              <w:pStyle w:val="0"/>
            </w:pPr>
            <w:r>
              <w:rPr>
                <w:sz w:val="24"/>
              </w:rPr>
            </w:r>
          </w:p>
        </w:tc>
      </w:tr>
      <w:tr>
        <w:tc>
          <w:tcPr>
            <w:gridSpan w:val="5"/>
            <w:tcW w:w="8504" w:type="dxa"/>
            <w:tcBorders>
              <w:top w:val="nil"/>
              <w:left w:val="nil"/>
              <w:bottom w:val="nil"/>
              <w:right w:val="nil"/>
            </w:tcBorders>
          </w:tcPr>
          <w:p>
            <w:pPr>
              <w:pStyle w:val="0"/>
            </w:pPr>
            <w:r>
              <w:rPr>
                <w:sz w:val="24"/>
              </w:rPr>
              <w:t xml:space="preserve">Вид деятельности областного государственного учреждения</w:t>
            </w:r>
          </w:p>
        </w:tc>
        <w:tc>
          <w:tcPr>
            <w:gridSpan w:val="7"/>
            <w:tcW w:w="5098" w:type="dxa"/>
            <w:tcBorders>
              <w:top w:val="single" w:sz="4"/>
              <w:left w:val="nil"/>
              <w:bottom w:val="single" w:sz="4"/>
              <w:right w:val="nil"/>
            </w:tcBorders>
          </w:tcPr>
          <w:p>
            <w:pPr>
              <w:pStyle w:val="0"/>
            </w:pPr>
            <w:r>
              <w:rPr>
                <w:sz w:val="24"/>
              </w:rPr>
            </w:r>
          </w:p>
        </w:tc>
      </w:tr>
      <w:tr>
        <w:tc>
          <w:tcPr>
            <w:gridSpan w:val="12"/>
            <w:tcW w:w="13602" w:type="dxa"/>
            <w:tcBorders>
              <w:top w:val="nil"/>
              <w:left w:val="nil"/>
              <w:bottom w:val="nil"/>
              <w:right w:val="nil"/>
            </w:tcBorders>
          </w:tcPr>
          <w:p>
            <w:pPr>
              <w:pStyle w:val="0"/>
            </w:pPr>
            <w:r>
              <w:rPr>
                <w:sz w:val="24"/>
              </w:rPr>
            </w:r>
          </w:p>
        </w:tc>
      </w:tr>
      <w:tr>
        <w:tc>
          <w:tcPr>
            <w:gridSpan w:val="12"/>
            <w:tcW w:w="13602" w:type="dxa"/>
            <w:tcBorders>
              <w:top w:val="nil"/>
              <w:left w:val="nil"/>
              <w:bottom w:val="nil"/>
              <w:right w:val="nil"/>
            </w:tcBorders>
          </w:tcPr>
          <w:p>
            <w:pPr>
              <w:pStyle w:val="0"/>
              <w:outlineLvl w:val="2"/>
              <w:jc w:val="center"/>
            </w:pPr>
            <w:r>
              <w:rPr>
                <w:sz w:val="24"/>
              </w:rPr>
              <w:t xml:space="preserve">Часть 1. Сведения об оказываемых государственных услугах </w:t>
            </w:r>
            <w:hyperlink w:history="0" w:anchor="P758" w:tooltip="&lt;1&gt; Формируется при установлении государственного задания на оказание государственной услуги (услуг) и выполнение работы (работ) и содержит требования к оказанию государственной услуги (услуг) и выполнению работы (работ) раздельно по каждой из государственных услуг (работ) с указанием порядкового номера раздела.">
              <w:r>
                <w:rPr>
                  <w:sz w:val="24"/>
                  <w:color w:val="0000ff"/>
                </w:rPr>
                <w:t xml:space="preserve">&lt;1&gt;</w:t>
              </w:r>
            </w:hyperlink>
          </w:p>
        </w:tc>
      </w:tr>
      <w:tr>
        <w:tc>
          <w:tcPr>
            <w:gridSpan w:val="12"/>
            <w:tcW w:w="13602" w:type="dxa"/>
            <w:tcBorders>
              <w:top w:val="nil"/>
              <w:left w:val="nil"/>
              <w:bottom w:val="nil"/>
              <w:right w:val="nil"/>
            </w:tcBorders>
          </w:tcPr>
          <w:p>
            <w:pPr>
              <w:pStyle w:val="0"/>
            </w:pPr>
            <w:r>
              <w:rPr>
                <w:sz w:val="24"/>
              </w:rPr>
            </w:r>
          </w:p>
        </w:tc>
      </w:tr>
      <w:tr>
        <w:tc>
          <w:tcPr>
            <w:gridSpan w:val="12"/>
            <w:tcW w:w="13602" w:type="dxa"/>
            <w:tcBorders>
              <w:top w:val="nil"/>
              <w:left w:val="nil"/>
              <w:bottom w:val="nil"/>
              <w:right w:val="nil"/>
            </w:tcBorders>
          </w:tcPr>
          <w:p>
            <w:pPr>
              <w:pStyle w:val="0"/>
              <w:jc w:val="center"/>
            </w:pPr>
            <w:r>
              <w:rPr>
                <w:sz w:val="24"/>
              </w:rPr>
              <w:t xml:space="preserve">Раздел _____</w:t>
            </w:r>
          </w:p>
        </w:tc>
      </w:tr>
      <w:tr>
        <w:tc>
          <w:tcPr>
            <w:gridSpan w:val="12"/>
            <w:tcW w:w="13602" w:type="dxa"/>
            <w:tcBorders>
              <w:top w:val="nil"/>
              <w:left w:val="nil"/>
              <w:bottom w:val="nil"/>
              <w:right w:val="nil"/>
            </w:tcBorders>
          </w:tcPr>
          <w:p>
            <w:pPr>
              <w:pStyle w:val="0"/>
            </w:pPr>
            <w:r>
              <w:rPr>
                <w:sz w:val="24"/>
              </w:rPr>
            </w:r>
          </w:p>
        </w:tc>
      </w:tr>
      <w:tr>
        <w:tc>
          <w:tcPr>
            <w:gridSpan w:val="5"/>
            <w:tcW w:w="8504" w:type="dxa"/>
            <w:tcBorders>
              <w:top w:val="nil"/>
              <w:left w:val="nil"/>
              <w:bottom w:val="nil"/>
              <w:right w:val="nil"/>
            </w:tcBorders>
          </w:tcPr>
          <w:p>
            <w:pPr>
              <w:pStyle w:val="0"/>
              <w:jc w:val="both"/>
            </w:pPr>
            <w:r>
              <w:rPr>
                <w:sz w:val="24"/>
              </w:rPr>
              <w:t xml:space="preserve">1. Наименование государственной услуги</w:t>
            </w:r>
          </w:p>
        </w:tc>
        <w:tc>
          <w:tcPr>
            <w:gridSpan w:val="7"/>
            <w:tcW w:w="5098" w:type="dxa"/>
            <w:tcBorders>
              <w:top w:val="nil"/>
              <w:left w:val="nil"/>
              <w:bottom w:val="single" w:sz="4"/>
              <w:right w:val="nil"/>
            </w:tcBorders>
          </w:tcPr>
          <w:p>
            <w:pPr>
              <w:pStyle w:val="0"/>
            </w:pPr>
            <w:r>
              <w:rPr>
                <w:sz w:val="24"/>
              </w:rPr>
            </w:r>
          </w:p>
        </w:tc>
      </w:tr>
      <w:tr>
        <w:tc>
          <w:tcPr>
            <w:gridSpan w:val="5"/>
            <w:tcW w:w="8504" w:type="dxa"/>
            <w:tcBorders>
              <w:top w:val="nil"/>
              <w:left w:val="nil"/>
              <w:bottom w:val="nil"/>
              <w:right w:val="nil"/>
            </w:tcBorders>
          </w:tcPr>
          <w:p>
            <w:pPr>
              <w:pStyle w:val="0"/>
            </w:pPr>
            <w:r>
              <w:rPr>
                <w:sz w:val="24"/>
              </w:rPr>
              <w:t xml:space="preserve">Код по общероссийскому базовому перечню или региональному перечню</w:t>
            </w:r>
          </w:p>
        </w:tc>
        <w:tc>
          <w:tcPr>
            <w:gridSpan w:val="7"/>
            <w:tcW w:w="5098" w:type="dxa"/>
            <w:tcBorders>
              <w:top w:val="single" w:sz="4"/>
              <w:left w:val="nil"/>
              <w:bottom w:val="single" w:sz="4"/>
              <w:right w:val="nil"/>
            </w:tcBorders>
          </w:tcPr>
          <w:p>
            <w:pPr>
              <w:pStyle w:val="0"/>
            </w:pPr>
            <w:r>
              <w:rPr>
                <w:sz w:val="24"/>
              </w:rPr>
            </w:r>
          </w:p>
        </w:tc>
      </w:tr>
      <w:tr>
        <w:tc>
          <w:tcPr>
            <w:gridSpan w:val="5"/>
            <w:tcW w:w="8504" w:type="dxa"/>
            <w:tcBorders>
              <w:top w:val="nil"/>
              <w:left w:val="nil"/>
              <w:bottom w:val="nil"/>
              <w:right w:val="nil"/>
            </w:tcBorders>
          </w:tcPr>
          <w:p>
            <w:pPr>
              <w:pStyle w:val="0"/>
            </w:pPr>
            <w:r>
              <w:rPr>
                <w:sz w:val="24"/>
              </w:rPr>
              <w:t xml:space="preserve">2. Категории потребителей государственной услуги</w:t>
            </w:r>
          </w:p>
        </w:tc>
        <w:tc>
          <w:tcPr>
            <w:gridSpan w:val="7"/>
            <w:tcW w:w="5098" w:type="dxa"/>
            <w:tcBorders>
              <w:top w:val="single" w:sz="4"/>
              <w:left w:val="nil"/>
              <w:bottom w:val="single" w:sz="4"/>
              <w:right w:val="nil"/>
            </w:tcBorders>
          </w:tcPr>
          <w:p>
            <w:pPr>
              <w:pStyle w:val="0"/>
            </w:pPr>
            <w:r>
              <w:rPr>
                <w:sz w:val="24"/>
              </w:rPr>
            </w:r>
          </w:p>
        </w:tc>
      </w:tr>
      <w:tr>
        <w:tc>
          <w:tcPr>
            <w:gridSpan w:val="12"/>
            <w:tcW w:w="13602" w:type="dxa"/>
            <w:tcBorders>
              <w:top w:val="nil"/>
              <w:left w:val="nil"/>
              <w:bottom w:val="nil"/>
              <w:right w:val="nil"/>
            </w:tcBorders>
          </w:tcPr>
          <w:p>
            <w:pPr>
              <w:pStyle w:val="0"/>
            </w:pPr>
            <w:r>
              <w:rPr>
                <w:sz w:val="24"/>
              </w:rPr>
              <w:t xml:space="preserve">3. Показатели, характеризующие объем и (или) качество государственной услуги:</w:t>
            </w:r>
          </w:p>
        </w:tc>
      </w:tr>
      <w:tr>
        <w:tc>
          <w:tcPr>
            <w:gridSpan w:val="12"/>
            <w:tcW w:w="13602" w:type="dxa"/>
            <w:tcBorders>
              <w:top w:val="nil"/>
              <w:left w:val="nil"/>
              <w:bottom w:val="nil"/>
              <w:right w:val="nil"/>
            </w:tcBorders>
          </w:tcPr>
          <w:bookmarkStart w:id="421" w:name="P421"/>
          <w:bookmarkEnd w:id="421"/>
          <w:p>
            <w:pPr>
              <w:pStyle w:val="0"/>
            </w:pPr>
            <w:r>
              <w:rPr>
                <w:sz w:val="24"/>
              </w:rPr>
              <w:t xml:space="preserve">3.1. Показатели, характеризующие качество государственной услуги </w:t>
            </w:r>
            <w:hyperlink w:history="0" w:anchor="P759" w:tooltip="&lt;2&gt; Заполняется в соответствии с показателями, характеризующими качество услуг (работ), установленными в общероссийском базовом перечне или региональном перечне, а при их отсутствии или в дополнение к ним - показателями, характеризующими качество услуг (работ), установленными при необходимости органом, осуществляющим функции и полномочия учредителя областных бюджетных или автономных учреждений, главным распорядителем средств областного бюджета, в ведении которого находятся областные казенные учреждения, ...">
              <w:r>
                <w:rPr>
                  <w:sz w:val="24"/>
                  <w:color w:val="0000ff"/>
                </w:rPr>
                <w:t xml:space="preserve">&lt;2&gt;</w:t>
              </w:r>
            </w:hyperlink>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171"/>
        <w:gridCol w:w="1020"/>
        <w:gridCol w:w="1020"/>
        <w:gridCol w:w="1020"/>
        <w:gridCol w:w="1020"/>
        <w:gridCol w:w="1020"/>
        <w:gridCol w:w="1020"/>
        <w:gridCol w:w="737"/>
        <w:gridCol w:w="850"/>
        <w:gridCol w:w="998"/>
        <w:gridCol w:w="1077"/>
        <w:gridCol w:w="1042"/>
        <w:gridCol w:w="737"/>
        <w:gridCol w:w="850"/>
      </w:tblGrid>
      <w:tr>
        <w:tc>
          <w:tcPr>
            <w:tcW w:w="1171" w:type="dxa"/>
            <w:vMerge w:val="restart"/>
          </w:tcPr>
          <w:p>
            <w:pPr>
              <w:pStyle w:val="0"/>
              <w:jc w:val="center"/>
            </w:pPr>
            <w:r>
              <w:rPr>
                <w:sz w:val="24"/>
              </w:rPr>
              <w:t xml:space="preserve">Уникальный номер реестровой записи </w:t>
            </w:r>
            <w:hyperlink w:history="0" w:anchor="P766" w:tooltip="&lt;9&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&lt;9&gt;</w:t>
              </w:r>
            </w:hyperlink>
          </w:p>
        </w:tc>
        <w:tc>
          <w:tcPr>
            <w:gridSpan w:val="3"/>
            <w:tcW w:w="3060" w:type="dxa"/>
            <w:vMerge w:val="restart"/>
          </w:tcPr>
          <w:p>
            <w:pPr>
              <w:pStyle w:val="0"/>
              <w:jc w:val="center"/>
            </w:pPr>
            <w:r>
              <w:rPr>
                <w:sz w:val="24"/>
              </w:rPr>
              <w:t xml:space="preserve">Показатель, характеризующий содержание государственной услуги</w:t>
            </w:r>
          </w:p>
        </w:tc>
        <w:tc>
          <w:tcPr>
            <w:gridSpan w:val="2"/>
            <w:tcW w:w="2040" w:type="dxa"/>
            <w:vMerge w:val="restart"/>
          </w:tcPr>
          <w:p>
            <w:pPr>
              <w:pStyle w:val="0"/>
              <w:jc w:val="center"/>
            </w:pPr>
            <w:r>
              <w:rPr>
                <w:sz w:val="24"/>
              </w:rPr>
              <w:t xml:space="preserve">Показатель, характеризующий условия (формы) оказания государственной услуги</w:t>
            </w:r>
          </w:p>
        </w:tc>
        <w:tc>
          <w:tcPr>
            <w:gridSpan w:val="3"/>
            <w:tcW w:w="2607" w:type="dxa"/>
          </w:tcPr>
          <w:p>
            <w:pPr>
              <w:pStyle w:val="0"/>
              <w:jc w:val="center"/>
            </w:pPr>
            <w:r>
              <w:rPr>
                <w:sz w:val="24"/>
              </w:rPr>
              <w:t xml:space="preserve">Показатель качества государственной услуги</w:t>
            </w:r>
          </w:p>
        </w:tc>
        <w:tc>
          <w:tcPr>
            <w:gridSpan w:val="3"/>
            <w:tcW w:w="3117" w:type="dxa"/>
            <w:vMerge w:val="restart"/>
          </w:tcPr>
          <w:p>
            <w:pPr>
              <w:pStyle w:val="0"/>
              <w:jc w:val="center"/>
            </w:pPr>
            <w:r>
              <w:rPr>
                <w:sz w:val="24"/>
              </w:rPr>
              <w:t xml:space="preserve">Значения показателя качества государственной услуги</w:t>
            </w:r>
          </w:p>
        </w:tc>
        <w:tc>
          <w:tcPr>
            <w:gridSpan w:val="2"/>
            <w:tcW w:w="1587" w:type="dxa"/>
            <w:vMerge w:val="restart"/>
          </w:tcPr>
          <w:p>
            <w:pPr>
              <w:pStyle w:val="0"/>
              <w:jc w:val="center"/>
            </w:pPr>
            <w:r>
              <w:rPr>
                <w:sz w:val="24"/>
              </w:rPr>
              <w:t xml:space="preserve">Допустимые (возможные) отклонения от установленных показателей качества государственной услуги </w:t>
            </w:r>
            <w:hyperlink w:history="0" w:anchor="P762" w:tooltip="&lt;5&gt; Заполняется в случае, если для разных услуг (работ) устанавливаются различные показатели допустимых (возможных) отклонений или если указанные отклонения устанавливаются в абсолютных величинах. В случае если единицей объема работы является работа в целом, показатель не указывается.">
              <w:r>
                <w:rPr>
                  <w:sz w:val="24"/>
                  <w:color w:val="0000ff"/>
                </w:rPr>
                <w:t xml:space="preserve">&lt;5&gt;</w:t>
              </w:r>
            </w:hyperlink>
          </w:p>
        </w:tc>
      </w:tr>
      <w:tr>
        <w:tc>
          <w:tcPr>
            <w:vMerge w:val="continue"/>
          </w:tcPr>
          <w:p/>
        </w:tc>
        <w:tc>
          <w:tcPr>
            <w:gridSpan w:val="3"/>
            <w:vMerge w:val="continue"/>
          </w:tcPr>
          <w:p/>
        </w:tc>
        <w:tc>
          <w:tcPr>
            <w:gridSpan w:val="2"/>
            <w:vMerge w:val="continue"/>
          </w:tcPr>
          <w:p/>
        </w:tc>
        <w:tc>
          <w:tcPr>
            <w:tcW w:w="1020" w:type="dxa"/>
            <w:vMerge w:val="restart"/>
          </w:tcPr>
          <w:p>
            <w:pPr>
              <w:pStyle w:val="0"/>
              <w:jc w:val="center"/>
            </w:pPr>
            <w:r>
              <w:rPr>
                <w:sz w:val="24"/>
              </w:rPr>
              <w:t xml:space="preserve">наименование 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gridSpan w:val="2"/>
            <w:tcW w:w="1587" w:type="dxa"/>
          </w:tcPr>
          <w:p>
            <w:pPr>
              <w:pStyle w:val="0"/>
              <w:jc w:val="center"/>
            </w:pPr>
            <w:r>
              <w:rPr>
                <w:sz w:val="24"/>
              </w:rPr>
              <w:t xml:space="preserve">единица измерения</w:t>
            </w:r>
          </w:p>
        </w:tc>
        <w:tc>
          <w:tcPr>
            <w:gridSpan w:val="3"/>
            <w:vMerge w:val="continue"/>
          </w:tcPr>
          <w:p/>
        </w:tc>
        <w:tc>
          <w:tcPr>
            <w:gridSpan w:val="2"/>
            <w:vMerge w:val="continue"/>
          </w:tcPr>
          <w:p/>
        </w:tc>
      </w:tr>
      <w:tr>
        <w:tc>
          <w:tcPr>
            <w:vMerge w:val="continue"/>
          </w:tcPr>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vMerge w:val="continue"/>
          </w:tcPr>
          <w:p/>
        </w:tc>
        <w:tc>
          <w:tcPr>
            <w:tcW w:w="737" w:type="dxa"/>
          </w:tcPr>
          <w:p>
            <w:pPr>
              <w:pStyle w:val="0"/>
              <w:jc w:val="center"/>
            </w:pPr>
            <w:r>
              <w:rPr>
                <w:sz w:val="24"/>
              </w:rPr>
              <w:t xml:space="preserve">наименование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850" w:type="dxa"/>
          </w:tcPr>
          <w:p>
            <w:pPr>
              <w:pStyle w:val="0"/>
              <w:jc w:val="center"/>
            </w:pPr>
            <w:r>
              <w:rPr>
                <w:sz w:val="24"/>
              </w:rPr>
              <w:t xml:space="preserve">код по </w:t>
            </w:r>
            <w:hyperlink w:history="0" r:id="rId181"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761" w:tooltip="&lt;4&gt; Заполняется в соответствии с кодом, указанным в общероссийском базовом перечне или региональном перечне (при наличии).">
              <w:r>
                <w:rPr>
                  <w:sz w:val="24"/>
                  <w:color w:val="0000ff"/>
                </w:rPr>
                <w:t xml:space="preserve">&lt;4&gt;</w:t>
              </w:r>
            </w:hyperlink>
          </w:p>
        </w:tc>
        <w:tc>
          <w:tcPr>
            <w:tcW w:w="998" w:type="dxa"/>
          </w:tcPr>
          <w:p>
            <w:pPr>
              <w:pStyle w:val="0"/>
              <w:jc w:val="center"/>
            </w:pPr>
            <w:r>
              <w:rPr>
                <w:sz w:val="24"/>
              </w:rPr>
              <w:t xml:space="preserve">20__ год (очередной финансовый год)</w:t>
            </w:r>
          </w:p>
        </w:tc>
        <w:tc>
          <w:tcPr>
            <w:tcW w:w="1077" w:type="dxa"/>
          </w:tcPr>
          <w:p>
            <w:pPr>
              <w:pStyle w:val="0"/>
              <w:jc w:val="center"/>
            </w:pPr>
            <w:r>
              <w:rPr>
                <w:sz w:val="24"/>
              </w:rPr>
              <w:t xml:space="preserve">20__ год (1-й год планового периода)</w:t>
            </w:r>
          </w:p>
        </w:tc>
        <w:tc>
          <w:tcPr>
            <w:tcW w:w="1042" w:type="dxa"/>
          </w:tcPr>
          <w:p>
            <w:pPr>
              <w:pStyle w:val="0"/>
              <w:jc w:val="center"/>
            </w:pPr>
            <w:r>
              <w:rPr>
                <w:sz w:val="24"/>
              </w:rPr>
              <w:t xml:space="preserve">20__ год (2-й год планового периода)</w:t>
            </w:r>
          </w:p>
        </w:tc>
        <w:tc>
          <w:tcPr>
            <w:tcW w:w="737" w:type="dxa"/>
          </w:tcPr>
          <w:p>
            <w:pPr>
              <w:pStyle w:val="0"/>
              <w:jc w:val="center"/>
            </w:pPr>
            <w:r>
              <w:rPr>
                <w:sz w:val="24"/>
              </w:rPr>
              <w:t xml:space="preserve">в процентах</w:t>
            </w:r>
          </w:p>
        </w:tc>
        <w:tc>
          <w:tcPr>
            <w:tcW w:w="850" w:type="dxa"/>
          </w:tcPr>
          <w:p>
            <w:pPr>
              <w:pStyle w:val="0"/>
              <w:jc w:val="center"/>
            </w:pPr>
            <w:r>
              <w:rPr>
                <w:sz w:val="24"/>
              </w:rPr>
              <w:t xml:space="preserve">в абсолютных величинах</w:t>
            </w:r>
          </w:p>
        </w:tc>
      </w:tr>
      <w:tr>
        <w:tc>
          <w:tcPr>
            <w:tcW w:w="1171"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tcPr>
          <w:p>
            <w:pPr>
              <w:pStyle w:val="0"/>
            </w:pPr>
            <w:r>
              <w:rPr>
                <w:sz w:val="24"/>
              </w:rPr>
            </w:r>
          </w:p>
        </w:tc>
        <w:tc>
          <w:tcPr>
            <w:tcW w:w="737" w:type="dxa"/>
          </w:tcPr>
          <w:p>
            <w:pPr>
              <w:pStyle w:val="0"/>
            </w:pPr>
            <w:r>
              <w:rPr>
                <w:sz w:val="24"/>
              </w:rPr>
            </w:r>
          </w:p>
        </w:tc>
        <w:tc>
          <w:tcPr>
            <w:tcW w:w="850" w:type="dxa"/>
          </w:tcPr>
          <w:p>
            <w:pPr>
              <w:pStyle w:val="0"/>
            </w:pPr>
            <w:r>
              <w:rPr>
                <w:sz w:val="24"/>
              </w:rPr>
            </w:r>
          </w:p>
        </w:tc>
        <w:tc>
          <w:tcPr>
            <w:tcW w:w="998" w:type="dxa"/>
          </w:tcPr>
          <w:p>
            <w:pPr>
              <w:pStyle w:val="0"/>
            </w:pPr>
            <w:r>
              <w:rPr>
                <w:sz w:val="24"/>
              </w:rPr>
            </w:r>
          </w:p>
        </w:tc>
        <w:tc>
          <w:tcPr>
            <w:tcW w:w="1077" w:type="dxa"/>
          </w:tcPr>
          <w:p>
            <w:pPr>
              <w:pStyle w:val="0"/>
            </w:pPr>
            <w:r>
              <w:rPr>
                <w:sz w:val="24"/>
              </w:rPr>
            </w:r>
          </w:p>
        </w:tc>
        <w:tc>
          <w:tcPr>
            <w:tcW w:w="1042" w:type="dxa"/>
          </w:tcPr>
          <w:p>
            <w:pPr>
              <w:pStyle w:val="0"/>
            </w:pPr>
            <w:r>
              <w:rPr>
                <w:sz w:val="24"/>
              </w:rPr>
            </w:r>
          </w:p>
        </w:tc>
        <w:tc>
          <w:tcPr>
            <w:tcW w:w="737"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1020" w:type="dxa"/>
          </w:tcPr>
          <w:p>
            <w:pPr>
              <w:pStyle w:val="0"/>
            </w:pPr>
            <w:r>
              <w:rPr>
                <w:sz w:val="24"/>
              </w:rPr>
            </w:r>
          </w:p>
        </w:tc>
        <w:tc>
          <w:tcPr>
            <w:tcW w:w="737" w:type="dxa"/>
          </w:tcPr>
          <w:p>
            <w:pPr>
              <w:pStyle w:val="0"/>
            </w:pPr>
            <w:r>
              <w:rPr>
                <w:sz w:val="24"/>
              </w:rPr>
            </w:r>
          </w:p>
        </w:tc>
        <w:tc>
          <w:tcPr>
            <w:tcW w:w="850" w:type="dxa"/>
          </w:tcPr>
          <w:p>
            <w:pPr>
              <w:pStyle w:val="0"/>
            </w:pPr>
            <w:r>
              <w:rPr>
                <w:sz w:val="24"/>
              </w:rPr>
            </w:r>
          </w:p>
        </w:tc>
        <w:tc>
          <w:tcPr>
            <w:tcW w:w="998" w:type="dxa"/>
          </w:tcPr>
          <w:p>
            <w:pPr>
              <w:pStyle w:val="0"/>
            </w:pPr>
            <w:r>
              <w:rPr>
                <w:sz w:val="24"/>
              </w:rPr>
            </w:r>
          </w:p>
        </w:tc>
        <w:tc>
          <w:tcPr>
            <w:tcW w:w="1077" w:type="dxa"/>
          </w:tcPr>
          <w:p>
            <w:pPr>
              <w:pStyle w:val="0"/>
            </w:pPr>
            <w:r>
              <w:rPr>
                <w:sz w:val="24"/>
              </w:rPr>
            </w:r>
          </w:p>
        </w:tc>
        <w:tc>
          <w:tcPr>
            <w:tcW w:w="1042" w:type="dxa"/>
          </w:tcPr>
          <w:p>
            <w:pPr>
              <w:pStyle w:val="0"/>
            </w:pPr>
            <w:r>
              <w:rPr>
                <w:sz w:val="24"/>
              </w:rPr>
            </w:r>
          </w:p>
        </w:tc>
        <w:tc>
          <w:tcPr>
            <w:tcW w:w="737"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bookmarkStart w:id="476" w:name="P476"/>
          <w:bookmarkEnd w:id="476"/>
          <w:p>
            <w:pPr>
              <w:pStyle w:val="0"/>
              <w:jc w:val="both"/>
            </w:pPr>
            <w:r>
              <w:rPr>
                <w:sz w:val="24"/>
              </w:rPr>
              <w:t xml:space="preserve">3.2. Показатели, характеризующие объем государственной услуги:</w:t>
            </w:r>
          </w:p>
        </w:tc>
      </w:tr>
    </w:tbl>
    <w:p>
      <w:pPr>
        <w:pStyle w:val="0"/>
        <w:ind w:firstLine="540"/>
        <w:jc w:val="both"/>
      </w:pPr>
      <w:r>
        <w:rPr>
          <w:sz w:val="24"/>
        </w:rPr>
      </w:r>
    </w:p>
    <w:tbl>
      <w:tblPr>
        <w:tblInd w:w="0" w:type="dxa"/>
        <w:tblW w:w="5000" w:type="pct"/>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907"/>
        <w:gridCol w:w="1020"/>
        <w:gridCol w:w="1020"/>
        <w:gridCol w:w="1020"/>
        <w:gridCol w:w="1020"/>
        <w:gridCol w:w="1020"/>
        <w:gridCol w:w="1020"/>
        <w:gridCol w:w="745"/>
        <w:gridCol w:w="850"/>
        <w:gridCol w:w="850"/>
        <w:gridCol w:w="878"/>
        <w:gridCol w:w="850"/>
        <w:gridCol w:w="859"/>
        <w:gridCol w:w="850"/>
        <w:gridCol w:w="850"/>
        <w:gridCol w:w="680"/>
        <w:gridCol w:w="850"/>
      </w:tblGrid>
      <w:tr>
        <w:tc>
          <w:tcPr>
            <w:tcW w:w="907" w:type="dxa"/>
            <w:vMerge w:val="restart"/>
          </w:tcPr>
          <w:p>
            <w:pPr>
              <w:pStyle w:val="0"/>
              <w:jc w:val="center"/>
            </w:pPr>
            <w:r>
              <w:rPr>
                <w:sz w:val="24"/>
              </w:rPr>
              <w:t xml:space="preserve">Уникальный номер реестровой записи </w:t>
            </w:r>
            <w:hyperlink w:history="0" w:anchor="P766" w:tooltip="&lt;9&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&lt;9&gt;</w:t>
              </w:r>
            </w:hyperlink>
          </w:p>
        </w:tc>
        <w:tc>
          <w:tcPr>
            <w:gridSpan w:val="3"/>
            <w:tcW w:w="3060" w:type="dxa"/>
          </w:tcPr>
          <w:p>
            <w:pPr>
              <w:pStyle w:val="0"/>
              <w:jc w:val="center"/>
            </w:pPr>
            <w:r>
              <w:rPr>
                <w:sz w:val="24"/>
              </w:rPr>
              <w:t xml:space="preserve">Показатель, характеризующий содержание государственной услуги</w:t>
            </w:r>
          </w:p>
        </w:tc>
        <w:tc>
          <w:tcPr>
            <w:gridSpan w:val="2"/>
            <w:tcW w:w="2040" w:type="dxa"/>
          </w:tcPr>
          <w:p>
            <w:pPr>
              <w:pStyle w:val="0"/>
              <w:jc w:val="center"/>
            </w:pPr>
            <w:r>
              <w:rPr>
                <w:sz w:val="24"/>
              </w:rPr>
              <w:t xml:space="preserve">Показатель, характеризующий условия (формы) оказания государственной услуги</w:t>
            </w:r>
          </w:p>
        </w:tc>
        <w:tc>
          <w:tcPr>
            <w:gridSpan w:val="3"/>
            <w:tcW w:w="2615" w:type="dxa"/>
          </w:tcPr>
          <w:p>
            <w:pPr>
              <w:pStyle w:val="0"/>
              <w:jc w:val="center"/>
            </w:pPr>
            <w:r>
              <w:rPr>
                <w:sz w:val="24"/>
              </w:rPr>
              <w:t xml:space="preserve">Показатель объема государственной услуги</w:t>
            </w:r>
          </w:p>
        </w:tc>
        <w:tc>
          <w:tcPr>
            <w:gridSpan w:val="3"/>
            <w:tcW w:w="2578" w:type="dxa"/>
          </w:tcPr>
          <w:p>
            <w:pPr>
              <w:pStyle w:val="0"/>
              <w:jc w:val="center"/>
            </w:pPr>
            <w:r>
              <w:rPr>
                <w:sz w:val="24"/>
              </w:rPr>
              <w:t xml:space="preserve">Значение показателя объема государственной услуги</w:t>
            </w:r>
          </w:p>
        </w:tc>
        <w:tc>
          <w:tcPr>
            <w:gridSpan w:val="3"/>
            <w:tcW w:w="2559" w:type="dxa"/>
          </w:tcPr>
          <w:p>
            <w:pPr>
              <w:pStyle w:val="0"/>
              <w:jc w:val="center"/>
            </w:pPr>
            <w:r>
              <w:rPr>
                <w:sz w:val="24"/>
              </w:rPr>
              <w:t xml:space="preserve">Размер платы (цена, тариф)</w:t>
            </w:r>
          </w:p>
        </w:tc>
        <w:tc>
          <w:tcPr>
            <w:gridSpan w:val="2"/>
            <w:tcW w:w="1530" w:type="dxa"/>
          </w:tcPr>
          <w:p>
            <w:pPr>
              <w:pStyle w:val="0"/>
              <w:jc w:val="center"/>
            </w:pPr>
            <w:r>
              <w:rPr>
                <w:sz w:val="24"/>
              </w:rPr>
              <w:t xml:space="preserve">Допустимые (возможные) отклонения от установленных показателей объема государственной услуги </w:t>
            </w:r>
            <w:hyperlink w:history="0" w:anchor="P762" w:tooltip="&lt;5&gt; Заполняется в случае, если для разных услуг (работ) устанавливаются различные показатели допустимых (возможных) отклонений или если указанные отклонения устанавливаются в абсолютных величинах. В случае если единицей объема работы является работа в целом, показатель не указывается.">
              <w:r>
                <w:rPr>
                  <w:sz w:val="24"/>
                  <w:color w:val="0000ff"/>
                </w:rPr>
                <w:t xml:space="preserve">&lt;5&gt;</w:t>
              </w:r>
            </w:hyperlink>
          </w:p>
        </w:tc>
      </w:tr>
      <w:tr>
        <w:tc>
          <w:tcPr>
            <w:vMerge w:val="continue"/>
          </w:tcPr>
          <w:p/>
        </w:tc>
        <w:tc>
          <w:tcPr>
            <w:tcW w:w="1020" w:type="dxa"/>
            <w:vMerge w:val="restart"/>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наименование 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gridSpan w:val="2"/>
            <w:tcW w:w="1595" w:type="dxa"/>
          </w:tcPr>
          <w:p>
            <w:pPr>
              <w:pStyle w:val="0"/>
              <w:jc w:val="center"/>
            </w:pPr>
            <w:r>
              <w:rPr>
                <w:sz w:val="24"/>
              </w:rPr>
              <w:t xml:space="preserve">единица измерения</w:t>
            </w:r>
          </w:p>
        </w:tc>
        <w:tc>
          <w:tcPr>
            <w:tcW w:w="850" w:type="dxa"/>
            <w:vMerge w:val="restart"/>
          </w:tcPr>
          <w:p>
            <w:pPr>
              <w:pStyle w:val="0"/>
              <w:jc w:val="center"/>
            </w:pPr>
            <w:r>
              <w:rPr>
                <w:sz w:val="24"/>
              </w:rPr>
              <w:t xml:space="preserve">20__ год (очередной финансовый год)</w:t>
            </w:r>
          </w:p>
        </w:tc>
        <w:tc>
          <w:tcPr>
            <w:tcW w:w="878" w:type="dxa"/>
            <w:vMerge w:val="restart"/>
          </w:tcPr>
          <w:p>
            <w:pPr>
              <w:pStyle w:val="0"/>
              <w:jc w:val="center"/>
            </w:pPr>
            <w:r>
              <w:rPr>
                <w:sz w:val="24"/>
              </w:rPr>
              <w:t xml:space="preserve">20__ год (1-й год планового периода)</w:t>
            </w:r>
          </w:p>
        </w:tc>
        <w:tc>
          <w:tcPr>
            <w:tcW w:w="850" w:type="dxa"/>
            <w:vMerge w:val="restart"/>
          </w:tcPr>
          <w:p>
            <w:pPr>
              <w:pStyle w:val="0"/>
              <w:jc w:val="center"/>
            </w:pPr>
            <w:r>
              <w:rPr>
                <w:sz w:val="24"/>
              </w:rPr>
              <w:t xml:space="preserve">20__ год (2-й год планового периода)</w:t>
            </w:r>
          </w:p>
        </w:tc>
        <w:tc>
          <w:tcPr>
            <w:tcW w:w="859" w:type="dxa"/>
            <w:vMerge w:val="restart"/>
          </w:tcPr>
          <w:p>
            <w:pPr>
              <w:pStyle w:val="0"/>
              <w:jc w:val="center"/>
            </w:pPr>
            <w:r>
              <w:rPr>
                <w:sz w:val="24"/>
              </w:rPr>
              <w:t xml:space="preserve">20__ год (очередной финансовый год)</w:t>
            </w:r>
          </w:p>
        </w:tc>
        <w:tc>
          <w:tcPr>
            <w:tcW w:w="850" w:type="dxa"/>
            <w:vMerge w:val="restart"/>
          </w:tcPr>
          <w:p>
            <w:pPr>
              <w:pStyle w:val="0"/>
              <w:jc w:val="center"/>
            </w:pPr>
            <w:r>
              <w:rPr>
                <w:sz w:val="24"/>
              </w:rPr>
              <w:t xml:space="preserve">20__ год (1-й год планового периода)</w:t>
            </w:r>
          </w:p>
        </w:tc>
        <w:tc>
          <w:tcPr>
            <w:tcW w:w="850" w:type="dxa"/>
            <w:vMerge w:val="restart"/>
          </w:tcPr>
          <w:p>
            <w:pPr>
              <w:pStyle w:val="0"/>
              <w:jc w:val="center"/>
            </w:pPr>
            <w:r>
              <w:rPr>
                <w:sz w:val="24"/>
              </w:rPr>
              <w:t xml:space="preserve">20__ год (2-й год планового периода)</w:t>
            </w:r>
          </w:p>
        </w:tc>
        <w:tc>
          <w:tcPr>
            <w:tcW w:w="680" w:type="dxa"/>
            <w:vMerge w:val="restart"/>
          </w:tcPr>
          <w:p>
            <w:pPr>
              <w:pStyle w:val="0"/>
              <w:jc w:val="center"/>
            </w:pPr>
            <w:r>
              <w:rPr>
                <w:sz w:val="24"/>
              </w:rPr>
              <w:t xml:space="preserve">в процентах</w:t>
            </w:r>
          </w:p>
        </w:tc>
        <w:tc>
          <w:tcPr>
            <w:tcW w:w="850" w:type="dxa"/>
            <w:vMerge w:val="restart"/>
          </w:tcPr>
          <w:p>
            <w:pPr>
              <w:pStyle w:val="0"/>
              <w:jc w:val="center"/>
            </w:pPr>
            <w:r>
              <w:rPr>
                <w:sz w:val="24"/>
              </w:rPr>
              <w:t xml:space="preserve">в абсолютных величинах</w:t>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745" w:type="dxa"/>
          </w:tcPr>
          <w:p>
            <w:pPr>
              <w:pStyle w:val="0"/>
              <w:jc w:val="center"/>
            </w:pPr>
            <w:r>
              <w:rPr>
                <w:sz w:val="24"/>
              </w:rPr>
              <w:t xml:space="preserve">наименование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850" w:type="dxa"/>
          </w:tcPr>
          <w:p>
            <w:pPr>
              <w:pStyle w:val="0"/>
              <w:jc w:val="center"/>
            </w:pPr>
            <w:r>
              <w:rPr>
                <w:sz w:val="24"/>
              </w:rPr>
              <w:t xml:space="preserve">код по </w:t>
            </w:r>
            <w:hyperlink w:history="0" r:id="rId182"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761" w:tooltip="&lt;4&gt; Заполняется в соответствии с кодом, указанным в общероссийском базовом перечне или региональном перечне (при наличии).">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907"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tcPr>
          <w:p>
            <w:pPr>
              <w:pStyle w:val="0"/>
            </w:pPr>
            <w:r>
              <w:rPr>
                <w:sz w:val="24"/>
              </w:rPr>
            </w:r>
          </w:p>
        </w:tc>
        <w:tc>
          <w:tcPr>
            <w:tcW w:w="745"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878" w:type="dxa"/>
          </w:tcPr>
          <w:p>
            <w:pPr>
              <w:pStyle w:val="0"/>
            </w:pPr>
            <w:r>
              <w:rPr>
                <w:sz w:val="24"/>
              </w:rPr>
            </w:r>
          </w:p>
        </w:tc>
        <w:tc>
          <w:tcPr>
            <w:tcW w:w="850" w:type="dxa"/>
          </w:tcPr>
          <w:p>
            <w:pPr>
              <w:pStyle w:val="0"/>
            </w:pPr>
            <w:r>
              <w:rPr>
                <w:sz w:val="24"/>
              </w:rPr>
            </w:r>
          </w:p>
        </w:tc>
        <w:tc>
          <w:tcPr>
            <w:tcW w:w="859"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680"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1020" w:type="dxa"/>
          </w:tcPr>
          <w:p>
            <w:pPr>
              <w:pStyle w:val="0"/>
            </w:pPr>
            <w:r>
              <w:rPr>
                <w:sz w:val="24"/>
              </w:rPr>
            </w:r>
          </w:p>
        </w:tc>
        <w:tc>
          <w:tcPr>
            <w:tcW w:w="745"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878" w:type="dxa"/>
          </w:tcPr>
          <w:p>
            <w:pPr>
              <w:pStyle w:val="0"/>
            </w:pPr>
            <w:r>
              <w:rPr>
                <w:sz w:val="24"/>
              </w:rPr>
            </w:r>
          </w:p>
        </w:tc>
        <w:tc>
          <w:tcPr>
            <w:tcW w:w="850" w:type="dxa"/>
          </w:tcPr>
          <w:p>
            <w:pPr>
              <w:pStyle w:val="0"/>
            </w:pPr>
            <w:r>
              <w:rPr>
                <w:sz w:val="24"/>
              </w:rPr>
            </w:r>
          </w:p>
        </w:tc>
        <w:tc>
          <w:tcPr>
            <w:tcW w:w="859"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680"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p>
            <w:pPr>
              <w:pStyle w:val="0"/>
            </w:pPr>
            <w:r>
              <w:rPr>
                <w:sz w:val="24"/>
              </w:rPr>
              <w:t xml:space="preserve">4. Нормативные правовые акты, устанавливающие размер платы (цену, тариф) либо порядок ее (его) установления:</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551"/>
        <w:gridCol w:w="3118"/>
        <w:gridCol w:w="1814"/>
        <w:gridCol w:w="1814"/>
        <w:gridCol w:w="4309"/>
      </w:tblGrid>
      <w:tr>
        <w:tc>
          <w:tcPr>
            <w:gridSpan w:val="5"/>
            <w:tcW w:w="13606" w:type="dxa"/>
          </w:tcPr>
          <w:p>
            <w:pPr>
              <w:pStyle w:val="0"/>
              <w:jc w:val="center"/>
            </w:pPr>
            <w:r>
              <w:rPr>
                <w:sz w:val="24"/>
              </w:rPr>
              <w:t xml:space="preserve">Нормативный правовой акт</w:t>
            </w:r>
          </w:p>
        </w:tc>
      </w:tr>
      <w:tr>
        <w:tc>
          <w:tcPr>
            <w:tcW w:w="2551" w:type="dxa"/>
          </w:tcPr>
          <w:p>
            <w:pPr>
              <w:pStyle w:val="0"/>
              <w:jc w:val="center"/>
            </w:pPr>
            <w:r>
              <w:rPr>
                <w:sz w:val="24"/>
              </w:rPr>
              <w:t xml:space="preserve">вид</w:t>
            </w:r>
          </w:p>
        </w:tc>
        <w:tc>
          <w:tcPr>
            <w:tcW w:w="3118" w:type="dxa"/>
          </w:tcPr>
          <w:p>
            <w:pPr>
              <w:pStyle w:val="0"/>
              <w:jc w:val="center"/>
            </w:pPr>
            <w:r>
              <w:rPr>
                <w:sz w:val="24"/>
              </w:rPr>
              <w:t xml:space="preserve">принявший орган</w:t>
            </w:r>
          </w:p>
        </w:tc>
        <w:tc>
          <w:tcPr>
            <w:tcW w:w="1814" w:type="dxa"/>
          </w:tcPr>
          <w:p>
            <w:pPr>
              <w:pStyle w:val="0"/>
              <w:jc w:val="center"/>
            </w:pPr>
            <w:r>
              <w:rPr>
                <w:sz w:val="24"/>
              </w:rPr>
              <w:t xml:space="preserve">дата</w:t>
            </w:r>
          </w:p>
        </w:tc>
        <w:tc>
          <w:tcPr>
            <w:tcW w:w="1814" w:type="dxa"/>
          </w:tcPr>
          <w:p>
            <w:pPr>
              <w:pStyle w:val="0"/>
              <w:jc w:val="center"/>
            </w:pPr>
            <w:r>
              <w:rPr>
                <w:sz w:val="24"/>
              </w:rPr>
              <w:t xml:space="preserve">номер</w:t>
            </w:r>
          </w:p>
        </w:tc>
        <w:tc>
          <w:tcPr>
            <w:tcW w:w="4309" w:type="dxa"/>
          </w:tcPr>
          <w:p>
            <w:pPr>
              <w:pStyle w:val="0"/>
              <w:jc w:val="center"/>
            </w:pPr>
            <w:r>
              <w:rPr>
                <w:sz w:val="24"/>
              </w:rPr>
              <w:t xml:space="preserve">наименование</w:t>
            </w:r>
          </w:p>
        </w:tc>
      </w:tr>
      <w:tr>
        <w:tc>
          <w:tcPr>
            <w:tcW w:w="2551" w:type="dxa"/>
          </w:tcPr>
          <w:p>
            <w:pPr>
              <w:pStyle w:val="0"/>
            </w:pPr>
            <w:r>
              <w:rPr>
                <w:sz w:val="24"/>
              </w:rPr>
            </w:r>
          </w:p>
        </w:tc>
        <w:tc>
          <w:tcPr>
            <w:tcW w:w="3118" w:type="dxa"/>
          </w:tcPr>
          <w:p>
            <w:pPr>
              <w:pStyle w:val="0"/>
            </w:pPr>
            <w:r>
              <w:rPr>
                <w:sz w:val="24"/>
              </w:rPr>
            </w:r>
          </w:p>
        </w:tc>
        <w:tc>
          <w:tcPr>
            <w:tcW w:w="1814" w:type="dxa"/>
          </w:tcPr>
          <w:p>
            <w:pPr>
              <w:pStyle w:val="0"/>
            </w:pPr>
            <w:r>
              <w:rPr>
                <w:sz w:val="24"/>
              </w:rPr>
            </w:r>
          </w:p>
        </w:tc>
        <w:tc>
          <w:tcPr>
            <w:tcW w:w="1814" w:type="dxa"/>
          </w:tcPr>
          <w:p>
            <w:pPr>
              <w:pStyle w:val="0"/>
            </w:pPr>
            <w:r>
              <w:rPr>
                <w:sz w:val="24"/>
              </w:rPr>
            </w:r>
          </w:p>
        </w:tc>
        <w:tc>
          <w:tcPr>
            <w:tcW w:w="4309" w:type="dxa"/>
          </w:tcPr>
          <w:p>
            <w:pPr>
              <w:pStyle w:val="0"/>
            </w:pPr>
            <w:r>
              <w:rPr>
                <w:sz w:val="24"/>
              </w:rPr>
            </w:r>
          </w:p>
        </w:tc>
      </w:tr>
      <w:tr>
        <w:tc>
          <w:tcPr>
            <w:tcW w:w="2551" w:type="dxa"/>
          </w:tcPr>
          <w:p>
            <w:pPr>
              <w:pStyle w:val="0"/>
            </w:pPr>
            <w:r>
              <w:rPr>
                <w:sz w:val="24"/>
              </w:rPr>
            </w:r>
          </w:p>
        </w:tc>
        <w:tc>
          <w:tcPr>
            <w:tcW w:w="3118" w:type="dxa"/>
          </w:tcPr>
          <w:p>
            <w:pPr>
              <w:pStyle w:val="0"/>
            </w:pPr>
            <w:r>
              <w:rPr>
                <w:sz w:val="24"/>
              </w:rPr>
            </w:r>
          </w:p>
        </w:tc>
        <w:tc>
          <w:tcPr>
            <w:tcW w:w="1814" w:type="dxa"/>
          </w:tcPr>
          <w:p>
            <w:pPr>
              <w:pStyle w:val="0"/>
            </w:pPr>
            <w:r>
              <w:rPr>
                <w:sz w:val="24"/>
              </w:rPr>
            </w:r>
          </w:p>
        </w:tc>
        <w:tc>
          <w:tcPr>
            <w:tcW w:w="1814" w:type="dxa"/>
          </w:tcPr>
          <w:p>
            <w:pPr>
              <w:pStyle w:val="0"/>
            </w:pPr>
            <w:r>
              <w:rPr>
                <w:sz w:val="24"/>
              </w:rPr>
            </w:r>
          </w:p>
        </w:tc>
        <w:tc>
          <w:tcPr>
            <w:tcW w:w="4309"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p>
            <w:pPr>
              <w:pStyle w:val="0"/>
            </w:pPr>
            <w:r>
              <w:rPr>
                <w:sz w:val="24"/>
              </w:rPr>
              <w:t xml:space="preserve">5. Порядок оказания государственной услуги</w:t>
            </w:r>
          </w:p>
        </w:tc>
      </w:tr>
      <w:tr>
        <w:tc>
          <w:tcPr>
            <w:tcW w:w="13606" w:type="dxa"/>
            <w:tcBorders>
              <w:top w:val="nil"/>
              <w:left w:val="nil"/>
              <w:bottom w:val="nil"/>
              <w:right w:val="nil"/>
            </w:tcBorders>
          </w:tcPr>
          <w:p>
            <w:pPr>
              <w:pStyle w:val="0"/>
            </w:pPr>
            <w:r>
              <w:rPr>
                <w:sz w:val="24"/>
              </w:rPr>
              <w:t xml:space="preserve">5.1. Нормативные правовые акты, регулирующие порядок оказания государственной услуги ______________________________</w:t>
            </w:r>
          </w:p>
        </w:tc>
      </w:tr>
      <w:tr>
        <w:tc>
          <w:tcPr>
            <w:tcW w:w="13606" w:type="dxa"/>
            <w:tcBorders>
              <w:top w:val="nil"/>
              <w:left w:val="nil"/>
              <w:bottom w:val="single" w:sz="4"/>
              <w:right w:val="nil"/>
            </w:tcBorders>
          </w:tcPr>
          <w:p>
            <w:pPr>
              <w:pStyle w:val="0"/>
            </w:pPr>
            <w:r>
              <w:rPr>
                <w:sz w:val="24"/>
              </w:rPr>
            </w:r>
          </w:p>
        </w:tc>
      </w:tr>
      <w:tr>
        <w:tc>
          <w:tcPr>
            <w:tcW w:w="13606" w:type="dxa"/>
            <w:tcBorders>
              <w:top w:val="single" w:sz="4"/>
              <w:left w:val="nil"/>
              <w:bottom w:val="nil"/>
              <w:right w:val="nil"/>
            </w:tcBorders>
          </w:tcPr>
          <w:p>
            <w:pPr>
              <w:pStyle w:val="0"/>
              <w:jc w:val="center"/>
            </w:pPr>
            <w:r>
              <w:rPr>
                <w:sz w:val="24"/>
              </w:rPr>
              <w:t xml:space="preserve">(наименование, номер и дата нормативного правового акта)</w:t>
            </w:r>
          </w:p>
        </w:tc>
      </w:tr>
      <w:tr>
        <w:tc>
          <w:tcPr>
            <w:tcW w:w="13606" w:type="dxa"/>
            <w:tcBorders>
              <w:top w:val="nil"/>
              <w:left w:val="nil"/>
              <w:bottom w:val="nil"/>
              <w:right w:val="nil"/>
            </w:tcBorders>
          </w:tcPr>
          <w:p>
            <w:pPr>
              <w:pStyle w:val="0"/>
              <w:jc w:val="both"/>
            </w:pPr>
            <w:r>
              <w:rPr>
                <w:sz w:val="24"/>
              </w:rPr>
              <w:t xml:space="preserve">5.2. Порядок информирования потенциальных потребителей государственной услуги:</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969"/>
        <w:gridCol w:w="4252"/>
        <w:gridCol w:w="5386"/>
      </w:tblGrid>
      <w:tr>
        <w:tc>
          <w:tcPr>
            <w:tcW w:w="3969" w:type="dxa"/>
          </w:tcPr>
          <w:p>
            <w:pPr>
              <w:pStyle w:val="0"/>
              <w:jc w:val="center"/>
            </w:pPr>
            <w:r>
              <w:rPr>
                <w:sz w:val="24"/>
              </w:rPr>
              <w:t xml:space="preserve">Способ информирования</w:t>
            </w:r>
          </w:p>
        </w:tc>
        <w:tc>
          <w:tcPr>
            <w:tcW w:w="4252" w:type="dxa"/>
          </w:tcPr>
          <w:p>
            <w:pPr>
              <w:pStyle w:val="0"/>
              <w:jc w:val="center"/>
            </w:pPr>
            <w:r>
              <w:rPr>
                <w:sz w:val="24"/>
              </w:rPr>
              <w:t xml:space="preserve">Состав размещаемой информации</w:t>
            </w:r>
          </w:p>
        </w:tc>
        <w:tc>
          <w:tcPr>
            <w:tcW w:w="5386" w:type="dxa"/>
          </w:tcPr>
          <w:p>
            <w:pPr>
              <w:pStyle w:val="0"/>
              <w:jc w:val="center"/>
            </w:pPr>
            <w:r>
              <w:rPr>
                <w:sz w:val="24"/>
              </w:rPr>
              <w:t xml:space="preserve">Частота обновления информации</w:t>
            </w:r>
          </w:p>
        </w:tc>
      </w:tr>
      <w:tr>
        <w:tc>
          <w:tcPr>
            <w:tcW w:w="3969" w:type="dxa"/>
          </w:tcPr>
          <w:p>
            <w:pPr>
              <w:pStyle w:val="0"/>
            </w:pPr>
            <w:r>
              <w:rPr>
                <w:sz w:val="24"/>
              </w:rPr>
            </w:r>
          </w:p>
        </w:tc>
        <w:tc>
          <w:tcPr>
            <w:tcW w:w="4252" w:type="dxa"/>
          </w:tcPr>
          <w:p>
            <w:pPr>
              <w:pStyle w:val="0"/>
            </w:pPr>
            <w:r>
              <w:rPr>
                <w:sz w:val="24"/>
              </w:rPr>
            </w:r>
          </w:p>
        </w:tc>
        <w:tc>
          <w:tcPr>
            <w:tcW w:w="5386"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8220"/>
        <w:gridCol w:w="5386"/>
      </w:tblGrid>
      <w:tr>
        <w:tc>
          <w:tcPr>
            <w:gridSpan w:val="2"/>
            <w:tcW w:w="13606" w:type="dxa"/>
            <w:tcBorders>
              <w:top w:val="nil"/>
              <w:left w:val="nil"/>
              <w:bottom w:val="nil"/>
              <w:right w:val="nil"/>
            </w:tcBorders>
          </w:tcPr>
          <w:p>
            <w:pPr>
              <w:pStyle w:val="0"/>
              <w:outlineLvl w:val="2"/>
              <w:jc w:val="center"/>
            </w:pPr>
            <w:r>
              <w:rPr>
                <w:sz w:val="24"/>
              </w:rPr>
              <w:t xml:space="preserve">Часть 2. Сведения о выполняемых работах</w:t>
            </w:r>
          </w:p>
        </w:tc>
      </w:tr>
      <w:tr>
        <w:tc>
          <w:tcPr>
            <w:gridSpan w:val="2"/>
            <w:tcW w:w="13606" w:type="dxa"/>
            <w:tcBorders>
              <w:top w:val="nil"/>
              <w:left w:val="nil"/>
              <w:bottom w:val="nil"/>
              <w:right w:val="nil"/>
            </w:tcBorders>
          </w:tcPr>
          <w:p>
            <w:pPr>
              <w:pStyle w:val="0"/>
            </w:pPr>
            <w:r>
              <w:rPr>
                <w:sz w:val="24"/>
              </w:rPr>
            </w:r>
          </w:p>
        </w:tc>
      </w:tr>
      <w:tr>
        <w:tc>
          <w:tcPr>
            <w:gridSpan w:val="2"/>
            <w:tcW w:w="13606" w:type="dxa"/>
            <w:tcBorders>
              <w:top w:val="nil"/>
              <w:left w:val="nil"/>
              <w:bottom w:val="nil"/>
              <w:right w:val="nil"/>
            </w:tcBorders>
          </w:tcPr>
          <w:p>
            <w:pPr>
              <w:pStyle w:val="0"/>
              <w:jc w:val="center"/>
            </w:pPr>
            <w:r>
              <w:rPr>
                <w:sz w:val="24"/>
              </w:rPr>
              <w:t xml:space="preserve">Раздел ____</w:t>
            </w:r>
          </w:p>
        </w:tc>
      </w:tr>
      <w:tr>
        <w:tc>
          <w:tcPr>
            <w:gridSpan w:val="2"/>
            <w:tcW w:w="13606" w:type="dxa"/>
            <w:tcBorders>
              <w:top w:val="nil"/>
              <w:left w:val="nil"/>
              <w:bottom w:val="nil"/>
              <w:right w:val="nil"/>
            </w:tcBorders>
          </w:tcPr>
          <w:p>
            <w:pPr>
              <w:pStyle w:val="0"/>
            </w:pPr>
            <w:r>
              <w:rPr>
                <w:sz w:val="24"/>
              </w:rPr>
            </w:r>
          </w:p>
        </w:tc>
      </w:tr>
      <w:tr>
        <w:tc>
          <w:tcPr>
            <w:tcW w:w="8220" w:type="dxa"/>
            <w:tcBorders>
              <w:top w:val="nil"/>
              <w:left w:val="nil"/>
              <w:bottom w:val="nil"/>
              <w:right w:val="nil"/>
            </w:tcBorders>
          </w:tcPr>
          <w:p>
            <w:pPr>
              <w:pStyle w:val="0"/>
            </w:pPr>
            <w:r>
              <w:rPr>
                <w:sz w:val="24"/>
              </w:rPr>
              <w:t xml:space="preserve">1. Наименование работы</w:t>
            </w:r>
          </w:p>
        </w:tc>
        <w:tc>
          <w:tcPr>
            <w:tcW w:w="5386" w:type="dxa"/>
            <w:tcBorders>
              <w:top w:val="nil"/>
              <w:left w:val="nil"/>
              <w:bottom w:val="single" w:sz="4"/>
              <w:right w:val="nil"/>
            </w:tcBorders>
          </w:tcPr>
          <w:p>
            <w:pPr>
              <w:pStyle w:val="0"/>
            </w:pPr>
            <w:r>
              <w:rPr>
                <w:sz w:val="24"/>
              </w:rPr>
            </w:r>
          </w:p>
        </w:tc>
      </w:tr>
      <w:tr>
        <w:tc>
          <w:tcPr>
            <w:tcW w:w="8220" w:type="dxa"/>
            <w:tcBorders>
              <w:top w:val="nil"/>
              <w:left w:val="nil"/>
              <w:bottom w:val="nil"/>
              <w:right w:val="nil"/>
            </w:tcBorders>
          </w:tcPr>
          <w:p>
            <w:pPr>
              <w:pStyle w:val="0"/>
            </w:pPr>
            <w:r>
              <w:rPr>
                <w:sz w:val="24"/>
              </w:rPr>
              <w:t xml:space="preserve">2. Категории потребителей работы</w:t>
            </w:r>
          </w:p>
        </w:tc>
        <w:tc>
          <w:tcPr>
            <w:tcW w:w="5386" w:type="dxa"/>
            <w:tcBorders>
              <w:top w:val="single" w:sz="4"/>
              <w:left w:val="nil"/>
              <w:bottom w:val="single" w:sz="4"/>
              <w:right w:val="nil"/>
            </w:tcBorders>
          </w:tcPr>
          <w:p>
            <w:pPr>
              <w:pStyle w:val="0"/>
            </w:pPr>
            <w:r>
              <w:rPr>
                <w:sz w:val="24"/>
              </w:rPr>
            </w:r>
          </w:p>
        </w:tc>
      </w:tr>
      <w:tr>
        <w:tc>
          <w:tcPr>
            <w:tcW w:w="8220" w:type="dxa"/>
            <w:tcBorders>
              <w:top w:val="nil"/>
              <w:left w:val="nil"/>
              <w:bottom w:val="nil"/>
              <w:right w:val="nil"/>
            </w:tcBorders>
          </w:tcPr>
          <w:p>
            <w:pPr>
              <w:pStyle w:val="0"/>
            </w:pPr>
            <w:r>
              <w:rPr>
                <w:sz w:val="24"/>
              </w:rPr>
              <w:t xml:space="preserve">Код по общероссийскому базовому перечню или региональному перечню</w:t>
            </w:r>
          </w:p>
        </w:tc>
        <w:tc>
          <w:tcPr>
            <w:tcW w:w="5386" w:type="dxa"/>
            <w:tcBorders>
              <w:top w:val="single" w:sz="4"/>
              <w:left w:val="nil"/>
              <w:bottom w:val="single" w:sz="4"/>
              <w:right w:val="nil"/>
            </w:tcBorders>
          </w:tcPr>
          <w:p>
            <w:pPr>
              <w:pStyle w:val="0"/>
            </w:pPr>
            <w:r>
              <w:rPr>
                <w:sz w:val="24"/>
              </w:rPr>
            </w:r>
          </w:p>
        </w:tc>
      </w:tr>
      <w:tr>
        <w:tc>
          <w:tcPr>
            <w:tcW w:w="8220" w:type="dxa"/>
            <w:tcBorders>
              <w:top w:val="nil"/>
              <w:left w:val="nil"/>
              <w:bottom w:val="nil"/>
              <w:right w:val="nil"/>
            </w:tcBorders>
          </w:tcPr>
          <w:p>
            <w:pPr>
              <w:pStyle w:val="0"/>
            </w:pPr>
            <w:r>
              <w:rPr>
                <w:sz w:val="24"/>
              </w:rPr>
              <w:t xml:space="preserve">3. Показатели, характеризующие объем и (или) качество работы:</w:t>
            </w:r>
          </w:p>
        </w:tc>
        <w:tc>
          <w:tcPr>
            <w:tcW w:w="5386" w:type="dxa"/>
            <w:tcBorders>
              <w:top w:val="single" w:sz="4"/>
              <w:left w:val="nil"/>
              <w:bottom w:val="single" w:sz="4"/>
              <w:right w:val="nil"/>
            </w:tcBorders>
          </w:tcPr>
          <w:p>
            <w:pPr>
              <w:pStyle w:val="0"/>
            </w:pPr>
            <w:r>
              <w:rPr>
                <w:sz w:val="24"/>
              </w:rPr>
            </w:r>
          </w:p>
        </w:tc>
      </w:tr>
      <w:tr>
        <w:tc>
          <w:tcPr>
            <w:tcW w:w="8220" w:type="dxa"/>
            <w:tcBorders>
              <w:top w:val="nil"/>
              <w:left w:val="nil"/>
              <w:bottom w:val="nil"/>
              <w:right w:val="nil"/>
            </w:tcBorders>
          </w:tcPr>
          <w:bookmarkStart w:id="585" w:name="P585"/>
          <w:bookmarkEnd w:id="585"/>
          <w:p>
            <w:pPr>
              <w:pStyle w:val="0"/>
            </w:pPr>
            <w:r>
              <w:rPr>
                <w:sz w:val="24"/>
              </w:rPr>
              <w:t xml:space="preserve">3.1. Показатели, характеризующие качество работы </w:t>
            </w:r>
            <w:hyperlink w:history="0" w:anchor="P759" w:tooltip="&lt;2&gt; Заполняется в соответствии с показателями, характеризующими качество услуг (работ), установленными в общероссийском базовом перечне или региональном перечне, а при их отсутствии или в дополнение к ним - показателями, характеризующими качество услуг (работ), установленными при необходимости органом, осуществляющим функции и полномочия учредителя областных бюджетных или автономных учреждений, главным распорядителем средств областного бюджета, в ведении которого находятся областные казенные учреждения, ...">
              <w:r>
                <w:rPr>
                  <w:sz w:val="24"/>
                  <w:color w:val="0000ff"/>
                </w:rPr>
                <w:t xml:space="preserve">&lt;2&gt;</w:t>
              </w:r>
            </w:hyperlink>
          </w:p>
        </w:tc>
        <w:tc>
          <w:tcPr>
            <w:tcW w:w="5386" w:type="dxa"/>
            <w:tcBorders>
              <w:top w:val="single" w:sz="4"/>
              <w:left w:val="nil"/>
              <w:bottom w:val="single" w:sz="4"/>
              <w:right w:val="nil"/>
            </w:tcBorders>
          </w:tcPr>
          <w:p>
            <w:pPr>
              <w:pStyle w:val="0"/>
            </w:pPr>
            <w:r>
              <w:rPr>
                <w:sz w:val="24"/>
              </w:rPr>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171"/>
        <w:gridCol w:w="1020"/>
        <w:gridCol w:w="1020"/>
        <w:gridCol w:w="1020"/>
        <w:gridCol w:w="1020"/>
        <w:gridCol w:w="1020"/>
        <w:gridCol w:w="1020"/>
        <w:gridCol w:w="737"/>
        <w:gridCol w:w="850"/>
        <w:gridCol w:w="998"/>
        <w:gridCol w:w="1077"/>
        <w:gridCol w:w="1042"/>
        <w:gridCol w:w="737"/>
        <w:gridCol w:w="850"/>
      </w:tblGrid>
      <w:tr>
        <w:tc>
          <w:tcPr>
            <w:tcW w:w="1171" w:type="dxa"/>
            <w:vMerge w:val="restart"/>
          </w:tcPr>
          <w:p>
            <w:pPr>
              <w:pStyle w:val="0"/>
              <w:jc w:val="center"/>
            </w:pPr>
            <w:r>
              <w:rPr>
                <w:sz w:val="24"/>
              </w:rPr>
              <w:t xml:space="preserve">Уникальный номер реестровой записи </w:t>
            </w:r>
            <w:hyperlink w:history="0" w:anchor="P766" w:tooltip="&lt;9&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&lt;9&gt;</w:t>
              </w:r>
            </w:hyperlink>
          </w:p>
        </w:tc>
        <w:tc>
          <w:tcPr>
            <w:gridSpan w:val="3"/>
            <w:tcW w:w="3060" w:type="dxa"/>
            <w:vMerge w:val="restart"/>
          </w:tcPr>
          <w:p>
            <w:pPr>
              <w:pStyle w:val="0"/>
              <w:jc w:val="center"/>
            </w:pPr>
            <w:r>
              <w:rPr>
                <w:sz w:val="24"/>
              </w:rPr>
              <w:t xml:space="preserve">Показатель, характеризующий содержание работы</w:t>
            </w:r>
          </w:p>
        </w:tc>
        <w:tc>
          <w:tcPr>
            <w:gridSpan w:val="2"/>
            <w:tcW w:w="2040" w:type="dxa"/>
            <w:vMerge w:val="restart"/>
          </w:tcPr>
          <w:p>
            <w:pPr>
              <w:pStyle w:val="0"/>
              <w:jc w:val="center"/>
            </w:pPr>
            <w:r>
              <w:rPr>
                <w:sz w:val="24"/>
              </w:rPr>
              <w:t xml:space="preserve">Показатель, характеризующий условия (формы) выполнения работы</w:t>
            </w:r>
          </w:p>
        </w:tc>
        <w:tc>
          <w:tcPr>
            <w:gridSpan w:val="3"/>
            <w:tcW w:w="2607" w:type="dxa"/>
          </w:tcPr>
          <w:p>
            <w:pPr>
              <w:pStyle w:val="0"/>
              <w:jc w:val="center"/>
            </w:pPr>
            <w:r>
              <w:rPr>
                <w:sz w:val="24"/>
              </w:rPr>
              <w:t xml:space="preserve">Показатель качества работы</w:t>
            </w:r>
          </w:p>
        </w:tc>
        <w:tc>
          <w:tcPr>
            <w:gridSpan w:val="3"/>
            <w:tcW w:w="3117" w:type="dxa"/>
            <w:vMerge w:val="restart"/>
          </w:tcPr>
          <w:p>
            <w:pPr>
              <w:pStyle w:val="0"/>
              <w:jc w:val="center"/>
            </w:pPr>
            <w:r>
              <w:rPr>
                <w:sz w:val="24"/>
              </w:rPr>
              <w:t xml:space="preserve">Значения показателя качества работы</w:t>
            </w:r>
          </w:p>
        </w:tc>
        <w:tc>
          <w:tcPr>
            <w:gridSpan w:val="2"/>
            <w:tcW w:w="1587" w:type="dxa"/>
            <w:vMerge w:val="restart"/>
          </w:tcPr>
          <w:p>
            <w:pPr>
              <w:pStyle w:val="0"/>
              <w:jc w:val="center"/>
            </w:pPr>
            <w:r>
              <w:rPr>
                <w:sz w:val="24"/>
              </w:rPr>
              <w:t xml:space="preserve">Допустимые (возможные) отклонения от установленных показателей качества работы </w:t>
            </w:r>
            <w:hyperlink w:history="0" w:anchor="P762" w:tooltip="&lt;5&gt; Заполняется в случае, если для разных услуг (работ) устанавливаются различные показатели допустимых (возможных) отклонений или если указанные отклонения устанавливаются в абсолютных величинах. В случае если единицей объема работы является работа в целом, показатель не указывается.">
              <w:r>
                <w:rPr>
                  <w:sz w:val="24"/>
                  <w:color w:val="0000ff"/>
                </w:rPr>
                <w:t xml:space="preserve">&lt;5&gt;</w:t>
              </w:r>
            </w:hyperlink>
          </w:p>
        </w:tc>
      </w:tr>
      <w:tr>
        <w:tc>
          <w:tcPr>
            <w:vMerge w:val="continue"/>
          </w:tcPr>
          <w:p/>
        </w:tc>
        <w:tc>
          <w:tcPr>
            <w:gridSpan w:val="3"/>
            <w:vMerge w:val="continue"/>
          </w:tcPr>
          <w:p/>
        </w:tc>
        <w:tc>
          <w:tcPr>
            <w:gridSpan w:val="2"/>
            <w:vMerge w:val="continue"/>
          </w:tcPr>
          <w:p/>
        </w:tc>
        <w:tc>
          <w:tcPr>
            <w:tcW w:w="1020" w:type="dxa"/>
            <w:vMerge w:val="restart"/>
          </w:tcPr>
          <w:p>
            <w:pPr>
              <w:pStyle w:val="0"/>
              <w:jc w:val="center"/>
            </w:pPr>
            <w:r>
              <w:rPr>
                <w:sz w:val="24"/>
              </w:rPr>
              <w:t xml:space="preserve">наименование 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gridSpan w:val="2"/>
            <w:tcW w:w="1587" w:type="dxa"/>
          </w:tcPr>
          <w:p>
            <w:pPr>
              <w:pStyle w:val="0"/>
              <w:jc w:val="center"/>
            </w:pPr>
            <w:r>
              <w:rPr>
                <w:sz w:val="24"/>
              </w:rPr>
              <w:t xml:space="preserve">единица измерения</w:t>
            </w:r>
          </w:p>
        </w:tc>
        <w:tc>
          <w:tcPr>
            <w:gridSpan w:val="3"/>
            <w:vMerge w:val="continue"/>
          </w:tcPr>
          <w:p/>
        </w:tc>
        <w:tc>
          <w:tcPr>
            <w:gridSpan w:val="2"/>
            <w:vMerge w:val="continue"/>
          </w:tcPr>
          <w:p/>
        </w:tc>
      </w:tr>
      <w:tr>
        <w:tc>
          <w:tcPr>
            <w:vMerge w:val="continue"/>
          </w:tcPr>
          <w:p/>
        </w:tc>
        <w:tc>
          <w:tcPr>
            <w:tcW w:w="1020" w:type="dxa"/>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vMerge w:val="continue"/>
          </w:tcPr>
          <w:p/>
        </w:tc>
        <w:tc>
          <w:tcPr>
            <w:tcW w:w="737" w:type="dxa"/>
          </w:tcPr>
          <w:p>
            <w:pPr>
              <w:pStyle w:val="0"/>
              <w:jc w:val="center"/>
            </w:pPr>
            <w:r>
              <w:rPr>
                <w:sz w:val="24"/>
              </w:rPr>
              <w:t xml:space="preserve">наименование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850" w:type="dxa"/>
          </w:tcPr>
          <w:p>
            <w:pPr>
              <w:pStyle w:val="0"/>
              <w:jc w:val="center"/>
            </w:pPr>
            <w:r>
              <w:rPr>
                <w:sz w:val="24"/>
              </w:rPr>
              <w:t xml:space="preserve">код по </w:t>
            </w:r>
            <w:hyperlink w:history="0" r:id="rId183"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761" w:tooltip="&lt;4&gt; Заполняется в соответствии с кодом, указанным в общероссийском базовом перечне или региональном перечне (при наличии).">
              <w:r>
                <w:rPr>
                  <w:sz w:val="24"/>
                  <w:color w:val="0000ff"/>
                </w:rPr>
                <w:t xml:space="preserve">&lt;4&gt;</w:t>
              </w:r>
            </w:hyperlink>
          </w:p>
        </w:tc>
        <w:tc>
          <w:tcPr>
            <w:tcW w:w="998" w:type="dxa"/>
          </w:tcPr>
          <w:p>
            <w:pPr>
              <w:pStyle w:val="0"/>
              <w:jc w:val="center"/>
            </w:pPr>
            <w:r>
              <w:rPr>
                <w:sz w:val="24"/>
              </w:rPr>
              <w:t xml:space="preserve">20__ год (очередной финансовый год)</w:t>
            </w:r>
          </w:p>
        </w:tc>
        <w:tc>
          <w:tcPr>
            <w:tcW w:w="1077" w:type="dxa"/>
          </w:tcPr>
          <w:p>
            <w:pPr>
              <w:pStyle w:val="0"/>
              <w:jc w:val="center"/>
            </w:pPr>
            <w:r>
              <w:rPr>
                <w:sz w:val="24"/>
              </w:rPr>
              <w:t xml:space="preserve">20__ год (1-й год планового периода)</w:t>
            </w:r>
          </w:p>
        </w:tc>
        <w:tc>
          <w:tcPr>
            <w:tcW w:w="1042" w:type="dxa"/>
          </w:tcPr>
          <w:p>
            <w:pPr>
              <w:pStyle w:val="0"/>
              <w:jc w:val="center"/>
            </w:pPr>
            <w:r>
              <w:rPr>
                <w:sz w:val="24"/>
              </w:rPr>
              <w:t xml:space="preserve">20__ год (2-й год планового периода)</w:t>
            </w:r>
          </w:p>
        </w:tc>
        <w:tc>
          <w:tcPr>
            <w:tcW w:w="737" w:type="dxa"/>
          </w:tcPr>
          <w:p>
            <w:pPr>
              <w:pStyle w:val="0"/>
              <w:jc w:val="center"/>
            </w:pPr>
            <w:r>
              <w:rPr>
                <w:sz w:val="24"/>
              </w:rPr>
              <w:t xml:space="preserve">в процентах</w:t>
            </w:r>
          </w:p>
        </w:tc>
        <w:tc>
          <w:tcPr>
            <w:tcW w:w="850" w:type="dxa"/>
          </w:tcPr>
          <w:p>
            <w:pPr>
              <w:pStyle w:val="0"/>
              <w:jc w:val="center"/>
            </w:pPr>
            <w:r>
              <w:rPr>
                <w:sz w:val="24"/>
              </w:rPr>
              <w:t xml:space="preserve">в абсолютных величинах</w:t>
            </w:r>
          </w:p>
        </w:tc>
      </w:tr>
      <w:tr>
        <w:tc>
          <w:tcPr>
            <w:tcW w:w="1171"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tcPr>
          <w:p>
            <w:pPr>
              <w:pStyle w:val="0"/>
            </w:pPr>
            <w:r>
              <w:rPr>
                <w:sz w:val="24"/>
              </w:rPr>
            </w:r>
          </w:p>
        </w:tc>
        <w:tc>
          <w:tcPr>
            <w:tcW w:w="737" w:type="dxa"/>
          </w:tcPr>
          <w:p>
            <w:pPr>
              <w:pStyle w:val="0"/>
            </w:pPr>
            <w:r>
              <w:rPr>
                <w:sz w:val="24"/>
              </w:rPr>
            </w:r>
          </w:p>
        </w:tc>
        <w:tc>
          <w:tcPr>
            <w:tcW w:w="850" w:type="dxa"/>
          </w:tcPr>
          <w:p>
            <w:pPr>
              <w:pStyle w:val="0"/>
            </w:pPr>
            <w:r>
              <w:rPr>
                <w:sz w:val="24"/>
              </w:rPr>
            </w:r>
          </w:p>
        </w:tc>
        <w:tc>
          <w:tcPr>
            <w:tcW w:w="998" w:type="dxa"/>
          </w:tcPr>
          <w:p>
            <w:pPr>
              <w:pStyle w:val="0"/>
            </w:pPr>
            <w:r>
              <w:rPr>
                <w:sz w:val="24"/>
              </w:rPr>
            </w:r>
          </w:p>
        </w:tc>
        <w:tc>
          <w:tcPr>
            <w:tcW w:w="1077" w:type="dxa"/>
          </w:tcPr>
          <w:p>
            <w:pPr>
              <w:pStyle w:val="0"/>
            </w:pPr>
            <w:r>
              <w:rPr>
                <w:sz w:val="24"/>
              </w:rPr>
            </w:r>
          </w:p>
        </w:tc>
        <w:tc>
          <w:tcPr>
            <w:tcW w:w="1042" w:type="dxa"/>
          </w:tcPr>
          <w:p>
            <w:pPr>
              <w:pStyle w:val="0"/>
            </w:pPr>
            <w:r>
              <w:rPr>
                <w:sz w:val="24"/>
              </w:rPr>
            </w:r>
          </w:p>
        </w:tc>
        <w:tc>
          <w:tcPr>
            <w:tcW w:w="737"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1020" w:type="dxa"/>
          </w:tcPr>
          <w:p>
            <w:pPr>
              <w:pStyle w:val="0"/>
            </w:pPr>
            <w:r>
              <w:rPr>
                <w:sz w:val="24"/>
              </w:rPr>
            </w:r>
          </w:p>
        </w:tc>
        <w:tc>
          <w:tcPr>
            <w:tcW w:w="737" w:type="dxa"/>
          </w:tcPr>
          <w:p>
            <w:pPr>
              <w:pStyle w:val="0"/>
            </w:pPr>
            <w:r>
              <w:rPr>
                <w:sz w:val="24"/>
              </w:rPr>
            </w:r>
          </w:p>
        </w:tc>
        <w:tc>
          <w:tcPr>
            <w:tcW w:w="850" w:type="dxa"/>
          </w:tcPr>
          <w:p>
            <w:pPr>
              <w:pStyle w:val="0"/>
            </w:pPr>
            <w:r>
              <w:rPr>
                <w:sz w:val="24"/>
              </w:rPr>
            </w:r>
          </w:p>
        </w:tc>
        <w:tc>
          <w:tcPr>
            <w:tcW w:w="998" w:type="dxa"/>
          </w:tcPr>
          <w:p>
            <w:pPr>
              <w:pStyle w:val="0"/>
            </w:pPr>
            <w:r>
              <w:rPr>
                <w:sz w:val="24"/>
              </w:rPr>
            </w:r>
          </w:p>
        </w:tc>
        <w:tc>
          <w:tcPr>
            <w:tcW w:w="1077" w:type="dxa"/>
          </w:tcPr>
          <w:p>
            <w:pPr>
              <w:pStyle w:val="0"/>
            </w:pPr>
            <w:r>
              <w:rPr>
                <w:sz w:val="24"/>
              </w:rPr>
            </w:r>
          </w:p>
        </w:tc>
        <w:tc>
          <w:tcPr>
            <w:tcW w:w="1042" w:type="dxa"/>
          </w:tcPr>
          <w:p>
            <w:pPr>
              <w:pStyle w:val="0"/>
            </w:pPr>
            <w:r>
              <w:rPr>
                <w:sz w:val="24"/>
              </w:rPr>
            </w:r>
          </w:p>
        </w:tc>
        <w:tc>
          <w:tcPr>
            <w:tcW w:w="737"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550"/>
      </w:tblGrid>
      <w:tr>
        <w:tc>
          <w:tcPr>
            <w:tcW w:w="13550" w:type="dxa"/>
            <w:tcBorders>
              <w:top w:val="nil"/>
              <w:left w:val="nil"/>
              <w:bottom w:val="nil"/>
              <w:right w:val="nil"/>
            </w:tcBorders>
          </w:tcPr>
          <w:p>
            <w:pPr>
              <w:pStyle w:val="0"/>
            </w:pPr>
            <w:r>
              <w:rPr>
                <w:sz w:val="24"/>
              </w:rPr>
              <w:t xml:space="preserve">3.2. Показатели, характеризующие объем работы:</w:t>
            </w:r>
          </w:p>
        </w:tc>
      </w:tr>
    </w:tbl>
    <w:p>
      <w:pPr>
        <w:pStyle w:val="0"/>
        <w:ind w:firstLine="540"/>
        <w:jc w:val="both"/>
      </w:pPr>
      <w:r>
        <w:rPr>
          <w:sz w:val="24"/>
        </w:rPr>
      </w:r>
    </w:p>
    <w:tbl>
      <w:tblPr>
        <w:tblInd w:w="0" w:type="dxa"/>
        <w:tblW w:w="5000" w:type="pct"/>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907"/>
        <w:gridCol w:w="1020"/>
        <w:gridCol w:w="1020"/>
        <w:gridCol w:w="1020"/>
        <w:gridCol w:w="1020"/>
        <w:gridCol w:w="1020"/>
        <w:gridCol w:w="1020"/>
        <w:gridCol w:w="745"/>
        <w:gridCol w:w="850"/>
        <w:gridCol w:w="850"/>
        <w:gridCol w:w="878"/>
        <w:gridCol w:w="850"/>
        <w:gridCol w:w="859"/>
        <w:gridCol w:w="850"/>
        <w:gridCol w:w="850"/>
        <w:gridCol w:w="680"/>
        <w:gridCol w:w="850"/>
      </w:tblGrid>
      <w:tr>
        <w:tc>
          <w:tcPr>
            <w:tcW w:w="907" w:type="dxa"/>
            <w:vMerge w:val="restart"/>
          </w:tcPr>
          <w:p>
            <w:pPr>
              <w:pStyle w:val="0"/>
              <w:jc w:val="center"/>
            </w:pPr>
            <w:r>
              <w:rPr>
                <w:sz w:val="24"/>
              </w:rPr>
              <w:t xml:space="preserve">Уникальный номер реестровой записи </w:t>
            </w:r>
            <w:hyperlink w:history="0" w:anchor="P766" w:tooltip="&lt;9&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&lt;9&gt;</w:t>
              </w:r>
            </w:hyperlink>
          </w:p>
        </w:tc>
        <w:tc>
          <w:tcPr>
            <w:gridSpan w:val="3"/>
            <w:tcW w:w="3060" w:type="dxa"/>
          </w:tcPr>
          <w:p>
            <w:pPr>
              <w:pStyle w:val="0"/>
              <w:jc w:val="center"/>
            </w:pPr>
            <w:r>
              <w:rPr>
                <w:sz w:val="24"/>
              </w:rPr>
              <w:t xml:space="preserve">Показатель, характеризующий содержание работы</w:t>
            </w:r>
          </w:p>
        </w:tc>
        <w:tc>
          <w:tcPr>
            <w:gridSpan w:val="2"/>
            <w:tcW w:w="2040" w:type="dxa"/>
          </w:tcPr>
          <w:p>
            <w:pPr>
              <w:pStyle w:val="0"/>
              <w:jc w:val="center"/>
            </w:pPr>
            <w:r>
              <w:rPr>
                <w:sz w:val="24"/>
              </w:rPr>
              <w:t xml:space="preserve">Показатель, характеризующий условия (формы) выполнения работы</w:t>
            </w:r>
          </w:p>
        </w:tc>
        <w:tc>
          <w:tcPr>
            <w:gridSpan w:val="3"/>
            <w:tcW w:w="2615" w:type="dxa"/>
          </w:tcPr>
          <w:p>
            <w:pPr>
              <w:pStyle w:val="0"/>
              <w:jc w:val="center"/>
            </w:pPr>
            <w:r>
              <w:rPr>
                <w:sz w:val="24"/>
              </w:rPr>
              <w:t xml:space="preserve">Показатель объема работы</w:t>
            </w:r>
          </w:p>
        </w:tc>
        <w:tc>
          <w:tcPr>
            <w:gridSpan w:val="3"/>
            <w:tcW w:w="2578" w:type="dxa"/>
          </w:tcPr>
          <w:p>
            <w:pPr>
              <w:pStyle w:val="0"/>
              <w:jc w:val="center"/>
            </w:pPr>
            <w:r>
              <w:rPr>
                <w:sz w:val="24"/>
              </w:rPr>
              <w:t xml:space="preserve">Значение показателя объема работы</w:t>
            </w:r>
          </w:p>
        </w:tc>
        <w:tc>
          <w:tcPr>
            <w:gridSpan w:val="3"/>
            <w:tcW w:w="2559" w:type="dxa"/>
          </w:tcPr>
          <w:p>
            <w:pPr>
              <w:pStyle w:val="0"/>
              <w:jc w:val="center"/>
            </w:pPr>
            <w:r>
              <w:rPr>
                <w:sz w:val="24"/>
              </w:rPr>
              <w:t xml:space="preserve">Размер платы (цена, тариф)</w:t>
            </w:r>
          </w:p>
        </w:tc>
        <w:tc>
          <w:tcPr>
            <w:gridSpan w:val="2"/>
            <w:tcW w:w="1530" w:type="dxa"/>
          </w:tcPr>
          <w:p>
            <w:pPr>
              <w:pStyle w:val="0"/>
              <w:jc w:val="center"/>
            </w:pPr>
            <w:r>
              <w:rPr>
                <w:sz w:val="24"/>
              </w:rPr>
              <w:t xml:space="preserve">Допустимые (возможные) отклонения от установленных показателей объема работы </w:t>
            </w:r>
            <w:hyperlink w:history="0" w:anchor="P762" w:tooltip="&lt;5&gt; Заполняется в случае, если для разных услуг (работ) устанавливаются различные показатели допустимых (возможных) отклонений или если указанные отклонения устанавливаются в абсолютных величинах. В случае если единицей объема работы является работа в целом, показатель не указывается.">
              <w:r>
                <w:rPr>
                  <w:sz w:val="24"/>
                  <w:color w:val="0000ff"/>
                </w:rPr>
                <w:t xml:space="preserve">&lt;5&gt;</w:t>
              </w:r>
            </w:hyperlink>
          </w:p>
        </w:tc>
      </w:tr>
      <w:tr>
        <w:tc>
          <w:tcPr>
            <w:vMerge w:val="continue"/>
          </w:tcPr>
          <w:p/>
        </w:tc>
        <w:tc>
          <w:tcPr>
            <w:tcW w:w="1020" w:type="dxa"/>
            <w:vMerge w:val="restart"/>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_______________</w:t>
            </w:r>
          </w:p>
          <w:p>
            <w:pPr>
              <w:pStyle w:val="0"/>
              <w:jc w:val="center"/>
            </w:pPr>
            <w:r>
              <w:rPr>
                <w:sz w:val="24"/>
              </w:rPr>
              <w:t xml:space="preserve">(наименование</w:t>
            </w:r>
          </w:p>
          <w:p>
            <w:pPr>
              <w:pStyle w:val="0"/>
              <w:jc w:val="center"/>
            </w:pPr>
            <w:r>
              <w:rPr>
                <w:sz w:val="24"/>
              </w:rPr>
              <w:t xml:space="preserve">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1020" w:type="dxa"/>
            <w:vMerge w:val="restart"/>
          </w:tcPr>
          <w:p>
            <w:pPr>
              <w:pStyle w:val="0"/>
              <w:jc w:val="center"/>
            </w:pPr>
            <w:r>
              <w:rPr>
                <w:sz w:val="24"/>
              </w:rPr>
              <w:t xml:space="preserve">наименование показателя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gridSpan w:val="2"/>
            <w:tcW w:w="1595" w:type="dxa"/>
          </w:tcPr>
          <w:p>
            <w:pPr>
              <w:pStyle w:val="0"/>
              <w:jc w:val="center"/>
            </w:pPr>
            <w:r>
              <w:rPr>
                <w:sz w:val="24"/>
              </w:rPr>
              <w:t xml:space="preserve">единица измерения</w:t>
            </w:r>
          </w:p>
        </w:tc>
        <w:tc>
          <w:tcPr>
            <w:tcW w:w="850" w:type="dxa"/>
            <w:vMerge w:val="restart"/>
          </w:tcPr>
          <w:p>
            <w:pPr>
              <w:pStyle w:val="0"/>
              <w:jc w:val="center"/>
            </w:pPr>
            <w:r>
              <w:rPr>
                <w:sz w:val="24"/>
              </w:rPr>
              <w:t xml:space="preserve">20__ год (очередной финансовый год)</w:t>
            </w:r>
          </w:p>
        </w:tc>
        <w:tc>
          <w:tcPr>
            <w:tcW w:w="878" w:type="dxa"/>
            <w:vMerge w:val="restart"/>
          </w:tcPr>
          <w:p>
            <w:pPr>
              <w:pStyle w:val="0"/>
              <w:jc w:val="center"/>
            </w:pPr>
            <w:r>
              <w:rPr>
                <w:sz w:val="24"/>
              </w:rPr>
              <w:t xml:space="preserve">20__ год (1-й год планового периода)</w:t>
            </w:r>
          </w:p>
        </w:tc>
        <w:tc>
          <w:tcPr>
            <w:tcW w:w="850" w:type="dxa"/>
            <w:vMerge w:val="restart"/>
          </w:tcPr>
          <w:p>
            <w:pPr>
              <w:pStyle w:val="0"/>
              <w:jc w:val="center"/>
            </w:pPr>
            <w:r>
              <w:rPr>
                <w:sz w:val="24"/>
              </w:rPr>
              <w:t xml:space="preserve">20__ год (2-й год планового периода)</w:t>
            </w:r>
          </w:p>
        </w:tc>
        <w:tc>
          <w:tcPr>
            <w:tcW w:w="859" w:type="dxa"/>
            <w:vMerge w:val="restart"/>
          </w:tcPr>
          <w:p>
            <w:pPr>
              <w:pStyle w:val="0"/>
              <w:jc w:val="center"/>
            </w:pPr>
            <w:r>
              <w:rPr>
                <w:sz w:val="24"/>
              </w:rPr>
              <w:t xml:space="preserve">20__ год (очередной финансовый год)</w:t>
            </w:r>
          </w:p>
        </w:tc>
        <w:tc>
          <w:tcPr>
            <w:tcW w:w="850" w:type="dxa"/>
            <w:vMerge w:val="restart"/>
          </w:tcPr>
          <w:p>
            <w:pPr>
              <w:pStyle w:val="0"/>
              <w:jc w:val="center"/>
            </w:pPr>
            <w:r>
              <w:rPr>
                <w:sz w:val="24"/>
              </w:rPr>
              <w:t xml:space="preserve">20__ год (1-й год планового периода)</w:t>
            </w:r>
          </w:p>
        </w:tc>
        <w:tc>
          <w:tcPr>
            <w:tcW w:w="850" w:type="dxa"/>
            <w:vMerge w:val="restart"/>
          </w:tcPr>
          <w:p>
            <w:pPr>
              <w:pStyle w:val="0"/>
              <w:jc w:val="center"/>
            </w:pPr>
            <w:r>
              <w:rPr>
                <w:sz w:val="24"/>
              </w:rPr>
              <w:t xml:space="preserve">20__ год (2-й год планового периода)</w:t>
            </w:r>
          </w:p>
        </w:tc>
        <w:tc>
          <w:tcPr>
            <w:tcW w:w="680" w:type="dxa"/>
            <w:vMerge w:val="restart"/>
          </w:tcPr>
          <w:p>
            <w:pPr>
              <w:pStyle w:val="0"/>
              <w:jc w:val="center"/>
            </w:pPr>
            <w:r>
              <w:rPr>
                <w:sz w:val="24"/>
              </w:rPr>
              <w:t xml:space="preserve">в процентах</w:t>
            </w:r>
          </w:p>
        </w:tc>
        <w:tc>
          <w:tcPr>
            <w:tcW w:w="850" w:type="dxa"/>
            <w:vMerge w:val="restart"/>
          </w:tcPr>
          <w:p>
            <w:pPr>
              <w:pStyle w:val="0"/>
              <w:jc w:val="center"/>
            </w:pPr>
            <w:r>
              <w:rPr>
                <w:sz w:val="24"/>
              </w:rPr>
              <w:t xml:space="preserve">в абсолютных величинах</w:t>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745" w:type="dxa"/>
          </w:tcPr>
          <w:p>
            <w:pPr>
              <w:pStyle w:val="0"/>
              <w:jc w:val="center"/>
            </w:pPr>
            <w:r>
              <w:rPr>
                <w:sz w:val="24"/>
              </w:rPr>
              <w:t xml:space="preserve">наименование </w:t>
            </w:r>
            <w:hyperlink w:history="0" w:anchor="P760" w:tooltip="&lt;3&gt; Заполняется в соответствии с общероссийскими базовыми перечнями или региональными перечнями.">
              <w:r>
                <w:rPr>
                  <w:sz w:val="24"/>
                  <w:color w:val="0000ff"/>
                </w:rPr>
                <w:t xml:space="preserve">&lt;3&gt;</w:t>
              </w:r>
            </w:hyperlink>
          </w:p>
        </w:tc>
        <w:tc>
          <w:tcPr>
            <w:tcW w:w="850" w:type="dxa"/>
          </w:tcPr>
          <w:p>
            <w:pPr>
              <w:pStyle w:val="0"/>
              <w:jc w:val="center"/>
            </w:pPr>
            <w:r>
              <w:rPr>
                <w:sz w:val="24"/>
              </w:rPr>
              <w:t xml:space="preserve">код по </w:t>
            </w:r>
            <w:hyperlink w:history="0" r:id="rId184"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761" w:tooltip="&lt;4&gt; Заполняется в соответствии с кодом, указанным в общероссийском базовом перечне или региональном перечне (при наличии).">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907"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tcPr>
          <w:p>
            <w:pPr>
              <w:pStyle w:val="0"/>
            </w:pPr>
            <w:r>
              <w:rPr>
                <w:sz w:val="24"/>
              </w:rPr>
            </w:r>
          </w:p>
        </w:tc>
        <w:tc>
          <w:tcPr>
            <w:tcW w:w="745"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878" w:type="dxa"/>
          </w:tcPr>
          <w:p>
            <w:pPr>
              <w:pStyle w:val="0"/>
            </w:pPr>
            <w:r>
              <w:rPr>
                <w:sz w:val="24"/>
              </w:rPr>
            </w:r>
          </w:p>
        </w:tc>
        <w:tc>
          <w:tcPr>
            <w:tcW w:w="850" w:type="dxa"/>
          </w:tcPr>
          <w:p>
            <w:pPr>
              <w:pStyle w:val="0"/>
            </w:pPr>
            <w:r>
              <w:rPr>
                <w:sz w:val="24"/>
              </w:rPr>
            </w:r>
          </w:p>
        </w:tc>
        <w:tc>
          <w:tcPr>
            <w:tcW w:w="859"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680"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1020" w:type="dxa"/>
          </w:tcPr>
          <w:p>
            <w:pPr>
              <w:pStyle w:val="0"/>
            </w:pPr>
            <w:r>
              <w:rPr>
                <w:sz w:val="24"/>
              </w:rPr>
            </w:r>
          </w:p>
        </w:tc>
        <w:tc>
          <w:tcPr>
            <w:tcW w:w="745"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878" w:type="dxa"/>
          </w:tcPr>
          <w:p>
            <w:pPr>
              <w:pStyle w:val="0"/>
            </w:pPr>
            <w:r>
              <w:rPr>
                <w:sz w:val="24"/>
              </w:rPr>
            </w:r>
          </w:p>
        </w:tc>
        <w:tc>
          <w:tcPr>
            <w:tcW w:w="850" w:type="dxa"/>
          </w:tcPr>
          <w:p>
            <w:pPr>
              <w:pStyle w:val="0"/>
            </w:pPr>
            <w:r>
              <w:rPr>
                <w:sz w:val="24"/>
              </w:rPr>
            </w:r>
          </w:p>
        </w:tc>
        <w:tc>
          <w:tcPr>
            <w:tcW w:w="859" w:type="dxa"/>
          </w:tcPr>
          <w:p>
            <w:pPr>
              <w:pStyle w:val="0"/>
            </w:pPr>
            <w:r>
              <w:rPr>
                <w:sz w:val="24"/>
              </w:rPr>
            </w:r>
          </w:p>
        </w:tc>
        <w:tc>
          <w:tcPr>
            <w:tcW w:w="850" w:type="dxa"/>
          </w:tcPr>
          <w:p>
            <w:pPr>
              <w:pStyle w:val="0"/>
            </w:pPr>
            <w:r>
              <w:rPr>
                <w:sz w:val="24"/>
              </w:rPr>
            </w:r>
          </w:p>
        </w:tc>
        <w:tc>
          <w:tcPr>
            <w:tcW w:w="850" w:type="dxa"/>
          </w:tcPr>
          <w:p>
            <w:pPr>
              <w:pStyle w:val="0"/>
            </w:pPr>
            <w:r>
              <w:rPr>
                <w:sz w:val="24"/>
              </w:rPr>
            </w:r>
          </w:p>
        </w:tc>
        <w:tc>
          <w:tcPr>
            <w:tcW w:w="680"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p>
            <w:pPr>
              <w:pStyle w:val="0"/>
            </w:pPr>
            <w:r>
              <w:rPr>
                <w:sz w:val="24"/>
              </w:rPr>
              <w:t xml:space="preserve">4. Нормативные правовые акты, устанавливающие размер платы (цену, тариф) либо порядок ее (его) установления </w:t>
            </w:r>
            <w:hyperlink w:history="0" w:anchor="P763" w:tooltip="&lt;6&gt; Заполняется в случае, если оказание услуг (выполнение работ) осуществляется на платной основе в соответствии с законодательством Российской Федерации в рамках государственного задания. При оказании услуг (выполнении работ) на платной основе сверх установленного государственного задания указанный показатель не формируется.">
              <w:r>
                <w:rPr>
                  <w:sz w:val="24"/>
                  <w:color w:val="0000ff"/>
                </w:rPr>
                <w:t xml:space="preserve">&lt;6&gt;</w:t>
              </w:r>
            </w:hyperlink>
            <w:r>
              <w:rPr>
                <w:sz w:val="24"/>
              </w:rPr>
              <w:t xml:space="preserve">:</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005"/>
        <w:gridCol w:w="3515"/>
        <w:gridCol w:w="1814"/>
        <w:gridCol w:w="2098"/>
        <w:gridCol w:w="3175"/>
      </w:tblGrid>
      <w:tr>
        <w:tc>
          <w:tcPr>
            <w:gridSpan w:val="5"/>
            <w:tcW w:w="13607" w:type="dxa"/>
          </w:tcPr>
          <w:p>
            <w:pPr>
              <w:pStyle w:val="0"/>
              <w:jc w:val="center"/>
            </w:pPr>
            <w:r>
              <w:rPr>
                <w:sz w:val="24"/>
              </w:rPr>
              <w:t xml:space="preserve">Нормативный правовой акт</w:t>
            </w:r>
          </w:p>
        </w:tc>
      </w:tr>
      <w:tr>
        <w:tc>
          <w:tcPr>
            <w:tcW w:w="3005" w:type="dxa"/>
          </w:tcPr>
          <w:p>
            <w:pPr>
              <w:pStyle w:val="0"/>
              <w:jc w:val="center"/>
            </w:pPr>
            <w:r>
              <w:rPr>
                <w:sz w:val="24"/>
              </w:rPr>
              <w:t xml:space="preserve">вид</w:t>
            </w:r>
          </w:p>
        </w:tc>
        <w:tc>
          <w:tcPr>
            <w:tcW w:w="3515" w:type="dxa"/>
          </w:tcPr>
          <w:p>
            <w:pPr>
              <w:pStyle w:val="0"/>
              <w:jc w:val="center"/>
            </w:pPr>
            <w:r>
              <w:rPr>
                <w:sz w:val="24"/>
              </w:rPr>
              <w:t xml:space="preserve">принявший орган</w:t>
            </w:r>
          </w:p>
        </w:tc>
        <w:tc>
          <w:tcPr>
            <w:tcW w:w="1814" w:type="dxa"/>
          </w:tcPr>
          <w:p>
            <w:pPr>
              <w:pStyle w:val="0"/>
              <w:jc w:val="center"/>
            </w:pPr>
            <w:r>
              <w:rPr>
                <w:sz w:val="24"/>
              </w:rPr>
              <w:t xml:space="preserve">дата</w:t>
            </w:r>
          </w:p>
        </w:tc>
        <w:tc>
          <w:tcPr>
            <w:tcW w:w="2098" w:type="dxa"/>
          </w:tcPr>
          <w:p>
            <w:pPr>
              <w:pStyle w:val="0"/>
              <w:jc w:val="center"/>
            </w:pPr>
            <w:r>
              <w:rPr>
                <w:sz w:val="24"/>
              </w:rPr>
              <w:t xml:space="preserve">номер</w:t>
            </w:r>
          </w:p>
        </w:tc>
        <w:tc>
          <w:tcPr>
            <w:tcW w:w="3175" w:type="dxa"/>
          </w:tcPr>
          <w:p>
            <w:pPr>
              <w:pStyle w:val="0"/>
              <w:jc w:val="center"/>
            </w:pPr>
            <w:r>
              <w:rPr>
                <w:sz w:val="24"/>
              </w:rPr>
              <w:t xml:space="preserve">наименование</w:t>
            </w:r>
          </w:p>
        </w:tc>
      </w:tr>
      <w:tr>
        <w:tc>
          <w:tcPr>
            <w:tcW w:w="3005" w:type="dxa"/>
          </w:tcPr>
          <w:p>
            <w:pPr>
              <w:pStyle w:val="0"/>
            </w:pPr>
            <w:r>
              <w:rPr>
                <w:sz w:val="24"/>
              </w:rPr>
            </w:r>
          </w:p>
        </w:tc>
        <w:tc>
          <w:tcPr>
            <w:tcW w:w="3515" w:type="dxa"/>
          </w:tcPr>
          <w:p>
            <w:pPr>
              <w:pStyle w:val="0"/>
            </w:pPr>
            <w:r>
              <w:rPr>
                <w:sz w:val="24"/>
              </w:rPr>
            </w:r>
          </w:p>
        </w:tc>
        <w:tc>
          <w:tcPr>
            <w:tcW w:w="1814" w:type="dxa"/>
          </w:tcPr>
          <w:p>
            <w:pPr>
              <w:pStyle w:val="0"/>
            </w:pPr>
            <w:r>
              <w:rPr>
                <w:sz w:val="24"/>
              </w:rPr>
            </w:r>
          </w:p>
        </w:tc>
        <w:tc>
          <w:tcPr>
            <w:tcW w:w="2098" w:type="dxa"/>
          </w:tcPr>
          <w:p>
            <w:pPr>
              <w:pStyle w:val="0"/>
            </w:pPr>
            <w:r>
              <w:rPr>
                <w:sz w:val="24"/>
              </w:rPr>
            </w:r>
          </w:p>
        </w:tc>
        <w:tc>
          <w:tcPr>
            <w:tcW w:w="3175" w:type="dxa"/>
          </w:tcPr>
          <w:p>
            <w:pPr>
              <w:pStyle w:val="0"/>
            </w:pPr>
            <w:r>
              <w:rPr>
                <w:sz w:val="24"/>
              </w:rPr>
            </w:r>
          </w:p>
        </w:tc>
      </w:tr>
      <w:tr>
        <w:tc>
          <w:tcPr>
            <w:tcW w:w="3005" w:type="dxa"/>
          </w:tcPr>
          <w:p>
            <w:pPr>
              <w:pStyle w:val="0"/>
            </w:pPr>
            <w:r>
              <w:rPr>
                <w:sz w:val="24"/>
              </w:rPr>
            </w:r>
          </w:p>
        </w:tc>
        <w:tc>
          <w:tcPr>
            <w:tcW w:w="3515" w:type="dxa"/>
          </w:tcPr>
          <w:p>
            <w:pPr>
              <w:pStyle w:val="0"/>
            </w:pPr>
            <w:r>
              <w:rPr>
                <w:sz w:val="24"/>
              </w:rPr>
            </w:r>
          </w:p>
        </w:tc>
        <w:tc>
          <w:tcPr>
            <w:tcW w:w="1814" w:type="dxa"/>
          </w:tcPr>
          <w:p>
            <w:pPr>
              <w:pStyle w:val="0"/>
            </w:pPr>
            <w:r>
              <w:rPr>
                <w:sz w:val="24"/>
              </w:rPr>
            </w:r>
          </w:p>
        </w:tc>
        <w:tc>
          <w:tcPr>
            <w:tcW w:w="2098" w:type="dxa"/>
          </w:tcPr>
          <w:p>
            <w:pPr>
              <w:pStyle w:val="0"/>
            </w:pPr>
            <w:r>
              <w:rPr>
                <w:sz w:val="24"/>
              </w:rPr>
            </w:r>
          </w:p>
        </w:tc>
        <w:tc>
          <w:tcPr>
            <w:tcW w:w="3175"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8334"/>
        <w:gridCol w:w="5272"/>
      </w:tblGrid>
      <w:tr>
        <w:tc>
          <w:tcPr>
            <w:gridSpan w:val="2"/>
            <w:tcW w:w="13606" w:type="dxa"/>
            <w:tcBorders>
              <w:top w:val="nil"/>
              <w:left w:val="nil"/>
              <w:bottom w:val="nil"/>
              <w:right w:val="nil"/>
            </w:tcBorders>
          </w:tcPr>
          <w:p>
            <w:pPr>
              <w:pStyle w:val="0"/>
              <w:outlineLvl w:val="2"/>
              <w:jc w:val="center"/>
            </w:pPr>
            <w:r>
              <w:rPr>
                <w:sz w:val="24"/>
              </w:rPr>
              <w:t xml:space="preserve">Часть 3. Прочие сведения о государственном задании </w:t>
            </w:r>
            <w:hyperlink w:history="0" w:anchor="P764" w:tooltip="&lt;7&gt; Заполняется в целом по государственному заданию.">
              <w:r>
                <w:rPr>
                  <w:sz w:val="24"/>
                  <w:color w:val="0000ff"/>
                </w:rPr>
                <w:t xml:space="preserve">&lt;7&gt;</w:t>
              </w:r>
            </w:hyperlink>
          </w:p>
        </w:tc>
      </w:tr>
      <w:tr>
        <w:tc>
          <w:tcPr>
            <w:tcW w:w="8334" w:type="dxa"/>
            <w:tcBorders>
              <w:top w:val="nil"/>
              <w:left w:val="nil"/>
              <w:bottom w:val="nil"/>
              <w:right w:val="nil"/>
            </w:tcBorders>
          </w:tcPr>
          <w:p>
            <w:pPr>
              <w:pStyle w:val="0"/>
            </w:pPr>
            <w:r>
              <w:rPr>
                <w:sz w:val="24"/>
              </w:rPr>
            </w:r>
          </w:p>
        </w:tc>
        <w:tc>
          <w:tcPr>
            <w:tcW w:w="5272" w:type="dxa"/>
            <w:tcBorders>
              <w:top w:val="nil"/>
              <w:left w:val="nil"/>
              <w:bottom w:val="nil"/>
              <w:right w:val="nil"/>
            </w:tcBorders>
          </w:tcPr>
          <w:p>
            <w:pPr>
              <w:pStyle w:val="0"/>
            </w:pPr>
            <w:r>
              <w:rPr>
                <w:sz w:val="24"/>
              </w:rPr>
            </w:r>
          </w:p>
        </w:tc>
      </w:tr>
      <w:tr>
        <w:tc>
          <w:tcPr>
            <w:tcW w:w="8334" w:type="dxa"/>
            <w:tcBorders>
              <w:top w:val="nil"/>
              <w:left w:val="nil"/>
              <w:bottom w:val="nil"/>
              <w:right w:val="nil"/>
            </w:tcBorders>
          </w:tcPr>
          <w:p>
            <w:pPr>
              <w:pStyle w:val="0"/>
            </w:pPr>
            <w:r>
              <w:rPr>
                <w:sz w:val="24"/>
              </w:rPr>
              <w:t xml:space="preserve">1. Основания (условия и порядок) для досрочного прекращения выполнения государственного задания</w:t>
            </w:r>
          </w:p>
        </w:tc>
        <w:tc>
          <w:tcPr>
            <w:tcW w:w="5272" w:type="dxa"/>
            <w:tcBorders>
              <w:top w:val="nil"/>
              <w:left w:val="nil"/>
              <w:bottom w:val="single" w:sz="4"/>
              <w:right w:val="nil"/>
            </w:tcBorders>
          </w:tcPr>
          <w:p>
            <w:pPr>
              <w:pStyle w:val="0"/>
            </w:pPr>
            <w:r>
              <w:rPr>
                <w:sz w:val="24"/>
              </w:rPr>
            </w:r>
          </w:p>
        </w:tc>
      </w:tr>
      <w:tr>
        <w:tc>
          <w:tcPr>
            <w:tcW w:w="8334" w:type="dxa"/>
            <w:tcBorders>
              <w:top w:val="nil"/>
              <w:left w:val="nil"/>
              <w:bottom w:val="nil"/>
              <w:right w:val="nil"/>
            </w:tcBorders>
          </w:tcPr>
          <w:p>
            <w:pPr>
              <w:pStyle w:val="0"/>
            </w:pPr>
            <w:r>
              <w:rPr>
                <w:sz w:val="24"/>
              </w:rPr>
              <w:t xml:space="preserve">2. Иная информация, необходимая для выполнения (контроля за выполнением) государственного задания</w:t>
            </w:r>
          </w:p>
        </w:tc>
        <w:tc>
          <w:tcPr>
            <w:tcW w:w="5272" w:type="dxa"/>
            <w:tcBorders>
              <w:top w:val="single" w:sz="4"/>
              <w:left w:val="nil"/>
              <w:bottom w:val="single" w:sz="4"/>
              <w:right w:val="nil"/>
            </w:tcBorders>
          </w:tcPr>
          <w:p>
            <w:pPr>
              <w:pStyle w:val="0"/>
            </w:pPr>
            <w:r>
              <w:rPr>
                <w:sz w:val="24"/>
              </w:rPr>
            </w:r>
          </w:p>
        </w:tc>
      </w:tr>
      <w:tr>
        <w:tc>
          <w:tcPr>
            <w:tcW w:w="8334" w:type="dxa"/>
            <w:tcBorders>
              <w:top w:val="nil"/>
              <w:left w:val="nil"/>
              <w:bottom w:val="nil"/>
              <w:right w:val="nil"/>
            </w:tcBorders>
          </w:tcPr>
          <w:p>
            <w:pPr>
              <w:pStyle w:val="0"/>
            </w:pPr>
            <w:r>
              <w:rPr>
                <w:sz w:val="24"/>
              </w:rPr>
              <w:t xml:space="preserve">3. Порядок контроля за выполнением государственного задания</w:t>
            </w:r>
          </w:p>
        </w:tc>
        <w:tc>
          <w:tcPr>
            <w:tcW w:w="5272" w:type="dxa"/>
            <w:tcBorders>
              <w:top w:val="single" w:sz="4"/>
              <w:left w:val="nil"/>
              <w:bottom w:val="single" w:sz="4"/>
              <w:right w:val="nil"/>
            </w:tcBorders>
          </w:tcPr>
          <w:p>
            <w:pPr>
              <w:pStyle w:val="0"/>
            </w:pPr>
            <w:r>
              <w:rPr>
                <w:sz w:val="24"/>
              </w:rPr>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855"/>
        <w:gridCol w:w="3458"/>
        <w:gridCol w:w="6293"/>
      </w:tblGrid>
      <w:tr>
        <w:tc>
          <w:tcPr>
            <w:tcW w:w="3855" w:type="dxa"/>
          </w:tcPr>
          <w:p>
            <w:pPr>
              <w:pStyle w:val="0"/>
              <w:jc w:val="center"/>
            </w:pPr>
            <w:r>
              <w:rPr>
                <w:sz w:val="24"/>
              </w:rPr>
              <w:t xml:space="preserve">Формы контроля</w:t>
            </w:r>
          </w:p>
        </w:tc>
        <w:tc>
          <w:tcPr>
            <w:tcW w:w="3458" w:type="dxa"/>
          </w:tcPr>
          <w:p>
            <w:pPr>
              <w:pStyle w:val="0"/>
              <w:jc w:val="center"/>
            </w:pPr>
            <w:r>
              <w:rPr>
                <w:sz w:val="24"/>
              </w:rPr>
              <w:t xml:space="preserve">Периодичность</w:t>
            </w:r>
          </w:p>
        </w:tc>
        <w:tc>
          <w:tcPr>
            <w:tcW w:w="6293" w:type="dxa"/>
          </w:tcPr>
          <w:p>
            <w:pPr>
              <w:pStyle w:val="0"/>
              <w:jc w:val="center"/>
            </w:pPr>
            <w:r>
              <w:rPr>
                <w:sz w:val="24"/>
              </w:rPr>
              <w:t xml:space="preserve">Органы исполнительной власти, осуществляющие контроль за исполнением государственного задания</w:t>
            </w:r>
          </w:p>
        </w:tc>
      </w:tr>
      <w:tr>
        <w:tc>
          <w:tcPr>
            <w:tcW w:w="3855" w:type="dxa"/>
          </w:tcPr>
          <w:p>
            <w:pPr>
              <w:pStyle w:val="0"/>
            </w:pPr>
            <w:r>
              <w:rPr>
                <w:sz w:val="24"/>
              </w:rPr>
            </w:r>
          </w:p>
        </w:tc>
        <w:tc>
          <w:tcPr>
            <w:tcW w:w="3458" w:type="dxa"/>
          </w:tcPr>
          <w:p>
            <w:pPr>
              <w:pStyle w:val="0"/>
            </w:pPr>
            <w:r>
              <w:rPr>
                <w:sz w:val="24"/>
              </w:rPr>
            </w:r>
          </w:p>
        </w:tc>
        <w:tc>
          <w:tcPr>
            <w:tcW w:w="6293"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7937"/>
        <w:gridCol w:w="5669"/>
      </w:tblGrid>
      <w:tr>
        <w:tc>
          <w:tcPr>
            <w:tcW w:w="7937" w:type="dxa"/>
            <w:tcBorders>
              <w:top w:val="nil"/>
              <w:left w:val="nil"/>
              <w:bottom w:val="nil"/>
              <w:right w:val="nil"/>
            </w:tcBorders>
          </w:tcPr>
          <w:p>
            <w:pPr>
              <w:pStyle w:val="0"/>
            </w:pPr>
            <w:r>
              <w:rPr>
                <w:sz w:val="24"/>
              </w:rPr>
              <w:t xml:space="preserve">4. Требования к отчетности о выполнении государственного задания</w:t>
            </w:r>
          </w:p>
        </w:tc>
        <w:tc>
          <w:tcPr>
            <w:tcW w:w="5669" w:type="dxa"/>
            <w:tcBorders>
              <w:top w:val="nil"/>
              <w:left w:val="nil"/>
              <w:bottom w:val="single" w:sz="4"/>
              <w:right w:val="nil"/>
            </w:tcBorders>
          </w:tcPr>
          <w:p>
            <w:pPr>
              <w:pStyle w:val="0"/>
            </w:pPr>
            <w:r>
              <w:rPr>
                <w:sz w:val="24"/>
              </w:rPr>
            </w:r>
          </w:p>
        </w:tc>
      </w:tr>
      <w:tr>
        <w:tc>
          <w:tcPr>
            <w:tcW w:w="7937" w:type="dxa"/>
            <w:tcBorders>
              <w:top w:val="nil"/>
              <w:left w:val="nil"/>
              <w:bottom w:val="nil"/>
              <w:right w:val="nil"/>
            </w:tcBorders>
          </w:tcPr>
          <w:p>
            <w:pPr>
              <w:pStyle w:val="0"/>
            </w:pPr>
            <w:r>
              <w:rPr>
                <w:sz w:val="24"/>
              </w:rPr>
              <w:t xml:space="preserve">4.1. Периодичность представления отчетов о выполнении государственного</w:t>
            </w:r>
          </w:p>
          <w:p>
            <w:pPr>
              <w:pStyle w:val="0"/>
            </w:pPr>
            <w:r>
              <w:rPr>
                <w:sz w:val="24"/>
              </w:rPr>
              <w:t xml:space="preserve">задания</w:t>
            </w:r>
          </w:p>
        </w:tc>
        <w:tc>
          <w:tcPr>
            <w:tcW w:w="5669" w:type="dxa"/>
            <w:tcBorders>
              <w:top w:val="single" w:sz="4"/>
              <w:left w:val="nil"/>
              <w:bottom w:val="single" w:sz="4"/>
              <w:right w:val="nil"/>
            </w:tcBorders>
          </w:tcPr>
          <w:p>
            <w:pPr>
              <w:pStyle w:val="0"/>
            </w:pPr>
            <w:r>
              <w:rPr>
                <w:sz w:val="24"/>
              </w:rPr>
            </w:r>
          </w:p>
        </w:tc>
      </w:tr>
      <w:tr>
        <w:tc>
          <w:tcPr>
            <w:tcW w:w="7937" w:type="dxa"/>
            <w:tcBorders>
              <w:top w:val="nil"/>
              <w:left w:val="nil"/>
              <w:bottom w:val="nil"/>
              <w:right w:val="nil"/>
            </w:tcBorders>
          </w:tcPr>
          <w:p>
            <w:pPr>
              <w:pStyle w:val="0"/>
            </w:pPr>
            <w:r>
              <w:rPr>
                <w:sz w:val="24"/>
              </w:rPr>
              <w:t xml:space="preserve">4.2. Сроки представления отчетов о выполнении государственного задания</w:t>
            </w:r>
          </w:p>
        </w:tc>
        <w:tc>
          <w:tcPr>
            <w:tcW w:w="5669" w:type="dxa"/>
            <w:tcBorders>
              <w:top w:val="single" w:sz="4"/>
              <w:left w:val="nil"/>
              <w:bottom w:val="single" w:sz="4"/>
              <w:right w:val="nil"/>
            </w:tcBorders>
          </w:tcPr>
          <w:p>
            <w:pPr>
              <w:pStyle w:val="0"/>
            </w:pPr>
            <w:r>
              <w:rPr>
                <w:sz w:val="24"/>
              </w:rPr>
            </w:r>
          </w:p>
        </w:tc>
      </w:tr>
      <w:tr>
        <w:tc>
          <w:tcPr>
            <w:tcW w:w="7937" w:type="dxa"/>
            <w:tcBorders>
              <w:top w:val="nil"/>
              <w:left w:val="nil"/>
              <w:bottom w:val="nil"/>
              <w:right w:val="nil"/>
            </w:tcBorders>
          </w:tcPr>
          <w:p>
            <w:pPr>
              <w:pStyle w:val="0"/>
            </w:pPr>
            <w:r>
              <w:rPr>
                <w:sz w:val="24"/>
              </w:rPr>
              <w:t xml:space="preserve">4.2.1. Сроки представления предварительного отчета о выполнении</w:t>
            </w:r>
          </w:p>
          <w:p>
            <w:pPr>
              <w:pStyle w:val="0"/>
            </w:pPr>
            <w:r>
              <w:rPr>
                <w:sz w:val="24"/>
              </w:rPr>
              <w:t xml:space="preserve">государственного задания</w:t>
            </w:r>
          </w:p>
        </w:tc>
        <w:tc>
          <w:tcPr>
            <w:tcW w:w="5669" w:type="dxa"/>
            <w:tcBorders>
              <w:top w:val="single" w:sz="4"/>
              <w:left w:val="nil"/>
              <w:bottom w:val="single" w:sz="4"/>
              <w:right w:val="nil"/>
            </w:tcBorders>
          </w:tcPr>
          <w:p>
            <w:pPr>
              <w:pStyle w:val="0"/>
            </w:pPr>
            <w:r>
              <w:rPr>
                <w:sz w:val="24"/>
              </w:rPr>
            </w:r>
          </w:p>
        </w:tc>
      </w:tr>
      <w:tr>
        <w:tc>
          <w:tcPr>
            <w:tcW w:w="7937" w:type="dxa"/>
            <w:tcBorders>
              <w:top w:val="nil"/>
              <w:left w:val="nil"/>
              <w:bottom w:val="nil"/>
              <w:right w:val="nil"/>
            </w:tcBorders>
          </w:tcPr>
          <w:p>
            <w:pPr>
              <w:pStyle w:val="0"/>
            </w:pPr>
            <w:r>
              <w:rPr>
                <w:sz w:val="24"/>
              </w:rPr>
              <w:t xml:space="preserve">4.3. Иные требования к отчетности о выполнении государственного задания</w:t>
            </w:r>
          </w:p>
        </w:tc>
        <w:tc>
          <w:tcPr>
            <w:tcW w:w="5669" w:type="dxa"/>
            <w:tcBorders>
              <w:top w:val="single" w:sz="4"/>
              <w:left w:val="nil"/>
              <w:bottom w:val="single" w:sz="4"/>
              <w:right w:val="nil"/>
            </w:tcBorders>
          </w:tcPr>
          <w:p>
            <w:pPr>
              <w:pStyle w:val="0"/>
            </w:pPr>
            <w:r>
              <w:rPr>
                <w:sz w:val="24"/>
              </w:rPr>
            </w:r>
          </w:p>
        </w:tc>
      </w:tr>
      <w:tr>
        <w:tc>
          <w:tcPr>
            <w:tcW w:w="7937" w:type="dxa"/>
            <w:tcBorders>
              <w:top w:val="nil"/>
              <w:left w:val="nil"/>
              <w:bottom w:val="nil"/>
              <w:right w:val="nil"/>
            </w:tcBorders>
          </w:tcPr>
          <w:p>
            <w:pPr>
              <w:pStyle w:val="0"/>
            </w:pPr>
            <w:r>
              <w:rPr>
                <w:sz w:val="24"/>
              </w:rPr>
              <w:t xml:space="preserve">5. Иные показатели, связанные с выполнением государственного задания </w:t>
            </w:r>
            <w:hyperlink w:history="0" w:anchor="P765" w:tooltip="&lt;8&gt; В числе иных показателей может быть указано допустимое (возможное) отклонение от выполнения государственного задания (части государственного задания), в пределах которого оно (его часть) считается выполненным, при принятии органом, осуществляющим функции и полномочия учредителя областных бюджетных или автономных учреждений, главным распорядителем средств областного бюджета, в ведении которого находятся областные казенные учреждения, решения об установлении общего допустимого (возможного) отклонения о...">
              <w:r>
                <w:rPr>
                  <w:sz w:val="24"/>
                  <w:color w:val="0000ff"/>
                </w:rPr>
                <w:t xml:space="preserve">&lt;8&gt;</w:t>
              </w:r>
            </w:hyperlink>
          </w:p>
        </w:tc>
        <w:tc>
          <w:tcPr>
            <w:tcW w:w="5669" w:type="dxa"/>
            <w:tcBorders>
              <w:top w:val="single" w:sz="4"/>
              <w:left w:val="nil"/>
              <w:bottom w:val="single" w:sz="4"/>
              <w:right w:val="nil"/>
            </w:tcBorders>
          </w:tcPr>
          <w:p>
            <w:pPr>
              <w:pStyle w:val="0"/>
            </w:pPr>
            <w:r>
              <w:rPr>
                <w:sz w:val="24"/>
              </w:rPr>
            </w:r>
          </w:p>
        </w:tc>
      </w:tr>
    </w:tbl>
    <w:p>
      <w:pPr>
        <w:sectPr>
          <w:headerReference w:type="default" r:id="rId179"/>
          <w:headerReference w:type="first" r:id="rId179"/>
          <w:footerReference w:type="default" r:id="rId180"/>
          <w:footerReference w:type="first" r:id="rId180"/>
          <w:pgSz w:w="16838" w:h="11906" w:orient="landscape"/>
          <w:pgMar w:top="1133" w:right="397" w:bottom="566" w:left="397" w:header="0" w:footer="0" w:gutter="0"/>
          <w:titlePg/>
        </w:sectPr>
      </w:pPr>
    </w:p>
    <w:p>
      <w:pPr>
        <w:pStyle w:val="0"/>
        <w:ind w:firstLine="540"/>
        <w:jc w:val="both"/>
      </w:pPr>
      <w:r>
        <w:rPr>
          <w:sz w:val="24"/>
        </w:rPr>
      </w:r>
    </w:p>
    <w:p>
      <w:pPr>
        <w:pStyle w:val="0"/>
        <w:ind w:firstLine="540"/>
        <w:jc w:val="both"/>
      </w:pPr>
      <w:r>
        <w:rPr>
          <w:sz w:val="24"/>
        </w:rPr>
        <w:t xml:space="preserve">--------------------------------</w:t>
      </w:r>
    </w:p>
    <w:bookmarkStart w:id="758" w:name="P758"/>
    <w:bookmarkEnd w:id="758"/>
    <w:p>
      <w:pPr>
        <w:pStyle w:val="0"/>
        <w:spacing w:before="240" w:lineRule="auto"/>
        <w:ind w:firstLine="540"/>
        <w:jc w:val="both"/>
      </w:pPr>
      <w:r>
        <w:rPr>
          <w:sz w:val="24"/>
        </w:rPr>
        <w:t xml:space="preserve">&lt;1&gt; Формируется при установлении государственного задания на оказание государственной услуги (услуг) и выполнение работы (работ) и содержит требования к оказанию государственной услуги (услуг) и выполнению работы (работ) раздельно по каждой из государственных услуг (работ) с указанием порядкового номера раздела.</w:t>
      </w:r>
    </w:p>
    <w:bookmarkStart w:id="759" w:name="P759"/>
    <w:bookmarkEnd w:id="759"/>
    <w:p>
      <w:pPr>
        <w:pStyle w:val="0"/>
        <w:spacing w:before="240" w:lineRule="auto"/>
        <w:ind w:firstLine="540"/>
        <w:jc w:val="both"/>
      </w:pPr>
      <w:r>
        <w:rPr>
          <w:sz w:val="24"/>
        </w:rPr>
        <w:t xml:space="preserve">&lt;2&gt; Заполняется в соответствии с показателями, характеризующими качество услуг (работ), установленными в общероссийском базовом перечне или региональном перечне, а при их отсутствии или в дополнение к ним - показателями, характеризующими качество услуг (работ), установленными при необходимости органом, осуществляющим функции и полномочия учредителя областных бюджетных или автономных учреждений, главным распорядителем средств областного бюджета, в ведении которого находятся областные казенные учреждения, и единицы их измерения.</w:t>
      </w:r>
    </w:p>
    <w:bookmarkStart w:id="760" w:name="P760"/>
    <w:bookmarkEnd w:id="760"/>
    <w:p>
      <w:pPr>
        <w:pStyle w:val="0"/>
        <w:spacing w:before="240" w:lineRule="auto"/>
        <w:ind w:firstLine="540"/>
        <w:jc w:val="both"/>
      </w:pPr>
      <w:r>
        <w:rPr>
          <w:sz w:val="24"/>
        </w:rPr>
        <w:t xml:space="preserve">&lt;3&gt; Заполняется в соответствии с общероссийскими базовыми перечнями или региональными перечнями.</w:t>
      </w:r>
    </w:p>
    <w:bookmarkStart w:id="761" w:name="P761"/>
    <w:bookmarkEnd w:id="761"/>
    <w:p>
      <w:pPr>
        <w:pStyle w:val="0"/>
        <w:spacing w:before="240" w:lineRule="auto"/>
        <w:ind w:firstLine="540"/>
        <w:jc w:val="both"/>
      </w:pPr>
      <w:r>
        <w:rPr>
          <w:sz w:val="24"/>
        </w:rPr>
        <w:t xml:space="preserve">&lt;4&gt; Заполняется в соответствии с кодом, указанным в общероссийском базовом перечне или региональном перечне (при наличии).</w:t>
      </w:r>
    </w:p>
    <w:bookmarkStart w:id="762" w:name="P762"/>
    <w:bookmarkEnd w:id="762"/>
    <w:p>
      <w:pPr>
        <w:pStyle w:val="0"/>
        <w:spacing w:before="240" w:lineRule="auto"/>
        <w:ind w:firstLine="540"/>
        <w:jc w:val="both"/>
      </w:pPr>
      <w:r>
        <w:rPr>
          <w:sz w:val="24"/>
        </w:rPr>
        <w:t xml:space="preserve">&lt;5&gt; Заполняется в случае, если для разных услуг (работ) устанавливаются различные показатели допустимых (возможных) отклонений или если указанные отклонения устанавливаются в абсолютных величинах. В случае если единицей объема работы является работа в целом, показатель не указывается.</w:t>
      </w:r>
    </w:p>
    <w:bookmarkStart w:id="763" w:name="P763"/>
    <w:bookmarkEnd w:id="763"/>
    <w:p>
      <w:pPr>
        <w:pStyle w:val="0"/>
        <w:spacing w:before="240" w:lineRule="auto"/>
        <w:ind w:firstLine="540"/>
        <w:jc w:val="both"/>
      </w:pPr>
      <w:r>
        <w:rPr>
          <w:sz w:val="24"/>
        </w:rPr>
        <w:t xml:space="preserve">&lt;6&gt; Заполняется в случае, если оказание услуг (выполнение работ) осуществляется на платной основе в соответствии с законодательством Российской Федерации в рамках государственного задания. При оказании услуг (выполнении работ) на платной основе сверх установленного государственного задания указанный показатель не формируется.</w:t>
      </w:r>
    </w:p>
    <w:bookmarkStart w:id="764" w:name="P764"/>
    <w:bookmarkEnd w:id="764"/>
    <w:p>
      <w:pPr>
        <w:pStyle w:val="0"/>
        <w:spacing w:before="240" w:lineRule="auto"/>
        <w:ind w:firstLine="540"/>
        <w:jc w:val="both"/>
      </w:pPr>
      <w:r>
        <w:rPr>
          <w:sz w:val="24"/>
        </w:rPr>
        <w:t xml:space="preserve">&lt;7&gt; Заполняется в целом по государственному заданию.</w:t>
      </w:r>
    </w:p>
    <w:bookmarkStart w:id="765" w:name="P765"/>
    <w:bookmarkEnd w:id="765"/>
    <w:p>
      <w:pPr>
        <w:pStyle w:val="0"/>
        <w:spacing w:before="240" w:lineRule="auto"/>
        <w:ind w:firstLine="540"/>
        <w:jc w:val="both"/>
      </w:pPr>
      <w:r>
        <w:rPr>
          <w:sz w:val="24"/>
        </w:rPr>
        <w:t xml:space="preserve">&lt;8&gt; В числе иных показателей может быть указано допустимое (возможное) отклонение от выполнения государственного задания (части государственного задания), в пределах которого оно (его часть) считается выполненным, при принятии органом, осуществляющим функции и полномочия учредителя областных бюджетных или автономных учреждений, главным распорядителем средств областного бюджета, в ведении которого находятся областные казенные учреждения, решения об установлении общего допустимого (возможного) отклонения от выполнения государственного задания, в пределах которого оно считается выполненным (в процентах, в абсолютных величинах). В этом случае допустимые (возможные) отклонения, предусмотренные </w:t>
      </w:r>
      <w:hyperlink w:history="0" w:anchor="P421" w:tooltip="3.1. Показатели, характеризующие качество государственной услуги &lt;2&gt;">
        <w:r>
          <w:rPr>
            <w:sz w:val="24"/>
            <w:color w:val="0000ff"/>
          </w:rPr>
          <w:t xml:space="preserve">подпунктами 3.1</w:t>
        </w:r>
      </w:hyperlink>
      <w:r>
        <w:rPr>
          <w:sz w:val="24"/>
        </w:rPr>
        <w:t xml:space="preserve"> и </w:t>
      </w:r>
      <w:hyperlink w:history="0" w:anchor="P476" w:tooltip="3.2. Показатели, характеризующие объем государственной услуги:">
        <w:r>
          <w:rPr>
            <w:sz w:val="24"/>
            <w:color w:val="0000ff"/>
          </w:rPr>
          <w:t xml:space="preserve">3.2 частей 1</w:t>
        </w:r>
      </w:hyperlink>
      <w:r>
        <w:rPr>
          <w:sz w:val="24"/>
        </w:rPr>
        <w:t xml:space="preserve"> и </w:t>
      </w:r>
      <w:hyperlink w:history="0" w:anchor="P585" w:tooltip="3.1. Показатели, характеризующие качество работы &lt;2&gt;">
        <w:r>
          <w:rPr>
            <w:sz w:val="24"/>
            <w:color w:val="0000ff"/>
          </w:rPr>
          <w:t xml:space="preserve">2</w:t>
        </w:r>
      </w:hyperlink>
      <w:r>
        <w:rPr>
          <w:sz w:val="24"/>
        </w:rPr>
        <w:t xml:space="preserve"> настоящего государственного задания, принимают значения, равные установленному допустимому (возможному) отклонению от выполнения государственного задания (части государственного задания). В случае установления требования о представлении ежемесячных или ежеквартальных отчетов о выполнении государственного задания в числе иных показателей устанавливаются показатели выполнения государственного задания в процентах от годового объема оказания государственных услуг (выполнения работ) или в абсолютных величинах как для государственного задания в целом, так и относительно его части (в том числе с учетом неравномерного оказания государственных услуг (выполнения работ) в течение календарного года).</w:t>
      </w:r>
    </w:p>
    <w:bookmarkStart w:id="766" w:name="P766"/>
    <w:bookmarkEnd w:id="766"/>
    <w:p>
      <w:pPr>
        <w:pStyle w:val="0"/>
        <w:spacing w:before="240" w:lineRule="auto"/>
        <w:ind w:firstLine="540"/>
        <w:jc w:val="both"/>
      </w:pPr>
      <w:r>
        <w:rPr>
          <w:sz w:val="24"/>
        </w:rPr>
        <w:t xml:space="preserve">&lt;9&gt;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"Электронный бюджет" и размещенный на едином портале бюджетной системы Российской Федерации в информационно-телекоммуникационной сети Интернет (</w:t>
      </w:r>
      <w:hyperlink w:history="0" r:id="rId185">
        <w:r>
          <w:rPr>
            <w:sz w:val="24"/>
            <w:color w:val="0000ff"/>
          </w:rPr>
          <w:t xml:space="preserve">www.budget.gov.ru</w:t>
        </w:r>
      </w:hyperlink>
      <w:r>
        <w:rPr>
          <w:sz w:val="24"/>
        </w:rPr>
        <w:t xml:space="preserve">) и на официальном сайте в информационно-телекоммуникационной сети Интернет для размещения информации о государственных и муниципальных учреждениях (</w:t>
      </w:r>
      <w:hyperlink w:history="0" r:id="rId186">
        <w:r>
          <w:rPr>
            <w:sz w:val="24"/>
            <w:color w:val="0000ff"/>
          </w:rPr>
          <w:t xml:space="preserve">www.bus.gov.ru</w:t>
        </w:r>
      </w:hyperlink>
      <w:r>
        <w:rPr>
          <w:sz w:val="24"/>
        </w:rPr>
        <w:t xml:space="preserve">).</w:t>
      </w:r>
    </w:p>
    <w:p>
      <w:pPr>
        <w:pStyle w:val="0"/>
        <w:jc w:val="both"/>
      </w:pPr>
      <w:r>
        <w:rPr>
          <w:sz w:val="24"/>
        </w:rPr>
        <w:t xml:space="preserve">(сноска 9 введена постановлением Правительства Амурской области от 28.12.2023 </w:t>
      </w:r>
      <w:hyperlink w:history="0" r:id="rId187"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rPr>
        <w:t xml:space="preserve">)</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1"/>
        <w:jc w:val="right"/>
      </w:pPr>
      <w:r>
        <w:rPr>
          <w:sz w:val="24"/>
        </w:rPr>
        <w:t xml:space="preserve">Приложение N 2</w:t>
      </w:r>
    </w:p>
    <w:p>
      <w:pPr>
        <w:pStyle w:val="0"/>
        <w:jc w:val="right"/>
      </w:pPr>
      <w:r>
        <w:rPr>
          <w:sz w:val="24"/>
        </w:rPr>
        <w:t xml:space="preserve">к Положению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20.12.2019 </w:t>
            </w:r>
            <w:hyperlink w:history="0" r:id="rId188"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color w:val="392c69"/>
              </w:rPr>
              <w:t xml:space="preserve">, от 28.12.2023 </w:t>
            </w:r>
            <w:hyperlink w:history="0" r:id="rId189"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90"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приложение N 2 внесены изменения, которые </w:t>
            </w:r>
            <w:hyperlink w:history="0" r:id="rId19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CellMar>
          <w:top w:w="102" w:type="dxa"/>
          <w:left w:w="62" w:type="dxa"/>
          <w:bottom w:w="102" w:type="dxa"/>
          <w:right w:w="62" w:type="dxa"/>
        </w:tblCellMar>
      </w:tblPr>
      <w:tblGrid>
        <w:gridCol w:w="2503"/>
        <w:gridCol w:w="4309"/>
        <w:gridCol w:w="6746"/>
      </w:tblGrid>
      <w:tr>
        <w:tc>
          <w:tcPr>
            <w:gridSpan w:val="3"/>
            <w:tcW w:w="13558" w:type="dxa"/>
            <w:tcBorders>
              <w:top w:val="nil"/>
              <w:left w:val="nil"/>
              <w:bottom w:val="nil"/>
              <w:right w:val="nil"/>
            </w:tcBorders>
          </w:tcPr>
          <w:bookmarkStart w:id="780" w:name="P780"/>
          <w:bookmarkEnd w:id="780"/>
          <w:p>
            <w:pPr>
              <w:pStyle w:val="0"/>
              <w:jc w:val="center"/>
            </w:pPr>
            <w:r>
              <w:rPr>
                <w:sz w:val="24"/>
                <w:b w:val="on"/>
              </w:rPr>
              <w:t xml:space="preserve">Отчет</w:t>
            </w:r>
          </w:p>
          <w:p>
            <w:pPr>
              <w:pStyle w:val="0"/>
              <w:jc w:val="center"/>
            </w:pPr>
            <w:r>
              <w:rPr>
                <w:sz w:val="24"/>
                <w:b w:val="on"/>
              </w:rPr>
              <w:t xml:space="preserve">о выполнении государственного задания</w:t>
            </w:r>
            <w:r>
              <w:rPr>
                <w:sz w:val="24"/>
              </w:rPr>
              <w:t xml:space="preserve"> N </w:t>
            </w:r>
            <w:hyperlink w:history="0" w:anchor="P1126" w:tooltip="&lt;1&gt; Указывается номер государственного задания, по которому формируется отчет.">
              <w:r>
                <w:rPr>
                  <w:sz w:val="24"/>
                  <w:color w:val="0000ff"/>
                </w:rPr>
                <w:t xml:space="preserve">&lt;1&gt;</w:t>
              </w:r>
            </w:hyperlink>
          </w:p>
        </w:tc>
      </w:tr>
      <w:tr>
        <w:tc>
          <w:tcPr>
            <w:gridSpan w:val="3"/>
            <w:tcW w:w="13558" w:type="dxa"/>
            <w:tcBorders>
              <w:top w:val="nil"/>
              <w:left w:val="nil"/>
              <w:bottom w:val="nil"/>
              <w:right w:val="nil"/>
            </w:tcBorders>
          </w:tcPr>
          <w:p>
            <w:pPr>
              <w:pStyle w:val="0"/>
              <w:jc w:val="center"/>
            </w:pPr>
            <w:r>
              <w:rPr>
                <w:sz w:val="24"/>
              </w:rPr>
              <w:t xml:space="preserve">на 20__ год и плановый период 20__ и 20__ годов</w:t>
            </w:r>
          </w:p>
        </w:tc>
      </w:tr>
      <w:tr>
        <w:tc>
          <w:tcPr>
            <w:gridSpan w:val="3"/>
            <w:tcW w:w="13558" w:type="dxa"/>
            <w:tcBorders>
              <w:top w:val="nil"/>
              <w:left w:val="nil"/>
              <w:bottom w:val="nil"/>
              <w:right w:val="nil"/>
            </w:tcBorders>
          </w:tcPr>
          <w:p>
            <w:pPr>
              <w:pStyle w:val="0"/>
              <w:jc w:val="center"/>
            </w:pPr>
            <w:r>
              <w:rPr>
                <w:sz w:val="24"/>
              </w:rPr>
              <w:t xml:space="preserve">от "__" _____________ 20__ г. </w:t>
            </w:r>
            <w:hyperlink w:history="0" w:anchor="P1127" w:tooltip="&lt;2&gt; Указывается дата, на которую составляется отчет.">
              <w:r>
                <w:rPr>
                  <w:sz w:val="24"/>
                  <w:color w:val="0000ff"/>
                </w:rPr>
                <w:t xml:space="preserve">&lt;2&gt;</w:t>
              </w:r>
            </w:hyperlink>
          </w:p>
        </w:tc>
      </w:tr>
      <w:tr>
        <w:tc>
          <w:tcPr>
            <w:gridSpan w:val="3"/>
            <w:tcW w:w="13558" w:type="dxa"/>
            <w:tcBorders>
              <w:top w:val="nil"/>
              <w:left w:val="nil"/>
              <w:bottom w:val="nil"/>
              <w:right w:val="nil"/>
            </w:tcBorders>
          </w:tcPr>
          <w:p>
            <w:pPr>
              <w:pStyle w:val="0"/>
            </w:pPr>
            <w:r>
              <w:rPr>
                <w:sz w:val="24"/>
              </w:rPr>
            </w:r>
          </w:p>
        </w:tc>
      </w:tr>
      <w:tr>
        <w:tc>
          <w:tcPr>
            <w:gridSpan w:val="2"/>
            <w:tcW w:w="6812" w:type="dxa"/>
            <w:tcBorders>
              <w:top w:val="nil"/>
              <w:left w:val="nil"/>
              <w:bottom w:val="nil"/>
              <w:right w:val="nil"/>
            </w:tcBorders>
          </w:tcPr>
          <w:p>
            <w:pPr>
              <w:pStyle w:val="0"/>
            </w:pPr>
            <w:r>
              <w:rPr>
                <w:sz w:val="24"/>
              </w:rPr>
              <w:t xml:space="preserve">Наименование областного государственного учреждения</w:t>
            </w:r>
          </w:p>
        </w:tc>
        <w:tc>
          <w:tcPr>
            <w:tcW w:w="6746" w:type="dxa"/>
            <w:tcBorders>
              <w:top w:val="nil"/>
              <w:left w:val="nil"/>
              <w:bottom w:val="single" w:sz="4"/>
              <w:right w:val="nil"/>
            </w:tcBorders>
          </w:tcPr>
          <w:p>
            <w:pPr>
              <w:pStyle w:val="0"/>
            </w:pPr>
            <w:r>
              <w:rPr>
                <w:sz w:val="24"/>
              </w:rPr>
            </w:r>
          </w:p>
        </w:tc>
      </w:tr>
      <w:tr>
        <w:tc>
          <w:tcPr>
            <w:gridSpan w:val="2"/>
            <w:tcW w:w="6812" w:type="dxa"/>
            <w:tcBorders>
              <w:top w:val="nil"/>
              <w:left w:val="nil"/>
              <w:bottom w:val="nil"/>
              <w:right w:val="nil"/>
            </w:tcBorders>
          </w:tcPr>
          <w:p>
            <w:pPr>
              <w:pStyle w:val="0"/>
            </w:pPr>
            <w:r>
              <w:rPr>
                <w:sz w:val="24"/>
              </w:rPr>
              <w:t xml:space="preserve">Вид деятельности областного государственного учреждения</w:t>
            </w:r>
          </w:p>
        </w:tc>
        <w:tc>
          <w:tcPr>
            <w:tcW w:w="6746" w:type="dxa"/>
            <w:tcBorders>
              <w:top w:val="single" w:sz="4"/>
              <w:left w:val="nil"/>
              <w:bottom w:val="single" w:sz="4"/>
              <w:right w:val="nil"/>
            </w:tcBorders>
          </w:tcPr>
          <w:p>
            <w:pPr>
              <w:pStyle w:val="0"/>
            </w:pPr>
            <w:r>
              <w:rPr>
                <w:sz w:val="24"/>
              </w:rPr>
            </w:r>
          </w:p>
        </w:tc>
      </w:tr>
      <w:tr>
        <w:tc>
          <w:tcPr>
            <w:tcW w:w="2503" w:type="dxa"/>
            <w:tcBorders>
              <w:top w:val="nil"/>
              <w:left w:val="nil"/>
              <w:bottom w:val="nil"/>
              <w:right w:val="nil"/>
            </w:tcBorders>
          </w:tcPr>
          <w:p>
            <w:pPr>
              <w:pStyle w:val="0"/>
            </w:pPr>
            <w:r>
              <w:rPr>
                <w:sz w:val="24"/>
              </w:rPr>
              <w:t xml:space="preserve">Периодичность</w:t>
            </w:r>
          </w:p>
        </w:tc>
        <w:tc>
          <w:tcPr>
            <w:gridSpan w:val="2"/>
            <w:tcW w:w="11055" w:type="dxa"/>
            <w:tcBorders>
              <w:top w:val="nil"/>
              <w:left w:val="nil"/>
              <w:bottom w:val="single" w:sz="4"/>
              <w:right w:val="nil"/>
            </w:tcBorders>
          </w:tcPr>
          <w:p>
            <w:pPr>
              <w:pStyle w:val="0"/>
            </w:pPr>
            <w:r>
              <w:rPr>
                <w:sz w:val="24"/>
              </w:rPr>
            </w:r>
          </w:p>
        </w:tc>
      </w:tr>
      <w:tr>
        <w:tc>
          <w:tcPr>
            <w:tcW w:w="2503" w:type="dxa"/>
            <w:tcBorders>
              <w:top w:val="nil"/>
              <w:left w:val="nil"/>
              <w:bottom w:val="nil"/>
              <w:right w:val="nil"/>
            </w:tcBorders>
          </w:tcPr>
          <w:p>
            <w:pPr>
              <w:pStyle w:val="0"/>
            </w:pPr>
            <w:r>
              <w:rPr>
                <w:sz w:val="24"/>
              </w:rPr>
            </w:r>
          </w:p>
        </w:tc>
        <w:tc>
          <w:tcPr>
            <w:gridSpan w:val="2"/>
            <w:tcW w:w="11055" w:type="dxa"/>
            <w:tcBorders>
              <w:top w:val="single" w:sz="4"/>
              <w:left w:val="nil"/>
              <w:bottom w:val="nil"/>
              <w:right w:val="nil"/>
            </w:tcBorders>
          </w:tcPr>
          <w:p>
            <w:pPr>
              <w:pStyle w:val="0"/>
              <w:jc w:val="center"/>
            </w:pPr>
            <w:r>
              <w:rPr>
                <w:sz w:val="24"/>
              </w:rPr>
              <w:t xml:space="preserve">(указывается в соответствии с периодичностью представления отчета о выполнении государственного задания, установленной в государственном задании)</w:t>
            </w:r>
          </w:p>
        </w:tc>
      </w:tr>
      <w:tr>
        <w:tc>
          <w:tcPr>
            <w:gridSpan w:val="3"/>
            <w:tcW w:w="13558" w:type="dxa"/>
            <w:tcBorders>
              <w:top w:val="nil"/>
              <w:left w:val="nil"/>
              <w:bottom w:val="nil"/>
              <w:right w:val="nil"/>
            </w:tcBorders>
          </w:tcPr>
          <w:p>
            <w:pPr>
              <w:pStyle w:val="0"/>
            </w:pPr>
            <w:r>
              <w:rPr>
                <w:sz w:val="24"/>
              </w:rPr>
            </w:r>
          </w:p>
        </w:tc>
      </w:tr>
      <w:tr>
        <w:tc>
          <w:tcPr>
            <w:gridSpan w:val="3"/>
            <w:tcW w:w="13558" w:type="dxa"/>
            <w:tcBorders>
              <w:top w:val="nil"/>
              <w:left w:val="nil"/>
              <w:bottom w:val="nil"/>
              <w:right w:val="nil"/>
            </w:tcBorders>
          </w:tcPr>
          <w:p>
            <w:pPr>
              <w:pStyle w:val="0"/>
              <w:outlineLvl w:val="2"/>
              <w:jc w:val="center"/>
            </w:pPr>
            <w:r>
              <w:rPr>
                <w:sz w:val="24"/>
              </w:rPr>
              <w:t xml:space="preserve">Часть 1. Сведения об оказываемых государственных услугах </w:t>
            </w:r>
            <w:hyperlink w:history="0" w:anchor="P1128" w:tooltip="&lt;3&gt; Формируется при установлении государственного задания на оказание государственной услуги (услуг) и выполнение работы (работ) и содержит требования к оказанию государственной услуги (услуг) и выполнению работы (работ) раздельно по каждой из государственных услуг (работ) с указанием порядкового номера раздела.">
              <w:r>
                <w:rPr>
                  <w:sz w:val="24"/>
                  <w:color w:val="0000ff"/>
                </w:rPr>
                <w:t xml:space="preserve">&lt;3&gt;</w:t>
              </w:r>
            </w:hyperlink>
          </w:p>
        </w:tc>
      </w:tr>
      <w:tr>
        <w:tc>
          <w:tcPr>
            <w:gridSpan w:val="3"/>
            <w:tcW w:w="13558" w:type="dxa"/>
            <w:tcBorders>
              <w:top w:val="nil"/>
              <w:left w:val="nil"/>
              <w:bottom w:val="nil"/>
              <w:right w:val="nil"/>
            </w:tcBorders>
          </w:tcPr>
          <w:p>
            <w:pPr>
              <w:pStyle w:val="0"/>
            </w:pPr>
            <w:r>
              <w:rPr>
                <w:sz w:val="24"/>
              </w:rPr>
            </w:r>
          </w:p>
        </w:tc>
      </w:tr>
      <w:tr>
        <w:tc>
          <w:tcPr>
            <w:gridSpan w:val="3"/>
            <w:tcW w:w="13558" w:type="dxa"/>
            <w:tcBorders>
              <w:top w:val="nil"/>
              <w:left w:val="nil"/>
              <w:bottom w:val="nil"/>
              <w:right w:val="nil"/>
            </w:tcBorders>
          </w:tcPr>
          <w:p>
            <w:pPr>
              <w:pStyle w:val="0"/>
              <w:jc w:val="center"/>
            </w:pPr>
            <w:r>
              <w:rPr>
                <w:sz w:val="24"/>
              </w:rPr>
              <w:t xml:space="preserve">Раздел ____</w:t>
            </w:r>
          </w:p>
        </w:tc>
      </w:tr>
      <w:tr>
        <w:tc>
          <w:tcPr>
            <w:gridSpan w:val="3"/>
            <w:tcW w:w="13558" w:type="dxa"/>
            <w:tcBorders>
              <w:top w:val="nil"/>
              <w:left w:val="nil"/>
              <w:bottom w:val="nil"/>
              <w:right w:val="nil"/>
            </w:tcBorders>
          </w:tcPr>
          <w:p>
            <w:pPr>
              <w:pStyle w:val="0"/>
            </w:pPr>
            <w:r>
              <w:rPr>
                <w:sz w:val="24"/>
              </w:rPr>
            </w:r>
          </w:p>
        </w:tc>
      </w:tr>
      <w:tr>
        <w:tc>
          <w:tcPr>
            <w:gridSpan w:val="2"/>
            <w:tcW w:w="6812" w:type="dxa"/>
            <w:tcBorders>
              <w:top w:val="nil"/>
              <w:left w:val="nil"/>
              <w:bottom w:val="nil"/>
              <w:right w:val="nil"/>
            </w:tcBorders>
          </w:tcPr>
          <w:p>
            <w:pPr>
              <w:pStyle w:val="0"/>
            </w:pPr>
            <w:r>
              <w:rPr>
                <w:sz w:val="24"/>
              </w:rPr>
              <w:t xml:space="preserve">1. Наименование государственной услуги</w:t>
            </w:r>
          </w:p>
        </w:tc>
        <w:tc>
          <w:tcPr>
            <w:tcW w:w="6746" w:type="dxa"/>
            <w:tcBorders>
              <w:top w:val="nil"/>
              <w:left w:val="nil"/>
              <w:bottom w:val="single" w:sz="4"/>
              <w:right w:val="nil"/>
            </w:tcBorders>
          </w:tcPr>
          <w:p>
            <w:pPr>
              <w:pStyle w:val="0"/>
            </w:pPr>
            <w:r>
              <w:rPr>
                <w:sz w:val="24"/>
              </w:rPr>
            </w:r>
          </w:p>
        </w:tc>
      </w:tr>
      <w:tr>
        <w:tc>
          <w:tcPr>
            <w:gridSpan w:val="2"/>
            <w:tcW w:w="6812" w:type="dxa"/>
            <w:tcBorders>
              <w:top w:val="nil"/>
              <w:left w:val="nil"/>
              <w:bottom w:val="nil"/>
              <w:right w:val="nil"/>
            </w:tcBorders>
          </w:tcPr>
          <w:p>
            <w:pPr>
              <w:pStyle w:val="0"/>
            </w:pPr>
            <w:r>
              <w:rPr>
                <w:sz w:val="24"/>
              </w:rPr>
              <w:t xml:space="preserve">Код по общероссийскому базовому перечню или региональному перечню</w:t>
            </w:r>
          </w:p>
        </w:tc>
        <w:tc>
          <w:tcPr>
            <w:tcW w:w="6746" w:type="dxa"/>
            <w:tcBorders>
              <w:top w:val="single" w:sz="4"/>
              <w:left w:val="nil"/>
              <w:bottom w:val="single" w:sz="4"/>
              <w:right w:val="nil"/>
            </w:tcBorders>
          </w:tcPr>
          <w:p>
            <w:pPr>
              <w:pStyle w:val="0"/>
            </w:pPr>
            <w:r>
              <w:rPr>
                <w:sz w:val="24"/>
              </w:rPr>
            </w:r>
          </w:p>
        </w:tc>
      </w:tr>
      <w:tr>
        <w:tc>
          <w:tcPr>
            <w:gridSpan w:val="2"/>
            <w:tcW w:w="6812" w:type="dxa"/>
            <w:tcBorders>
              <w:top w:val="nil"/>
              <w:left w:val="nil"/>
              <w:bottom w:val="nil"/>
              <w:right w:val="nil"/>
            </w:tcBorders>
          </w:tcPr>
          <w:p>
            <w:pPr>
              <w:pStyle w:val="0"/>
            </w:pPr>
            <w:r>
              <w:rPr>
                <w:sz w:val="24"/>
              </w:rPr>
              <w:t xml:space="preserve">2. Категории потребителей государственной услуги</w:t>
            </w:r>
          </w:p>
        </w:tc>
        <w:tc>
          <w:tcPr>
            <w:tcW w:w="6746" w:type="dxa"/>
            <w:tcBorders>
              <w:top w:val="single" w:sz="4"/>
              <w:left w:val="nil"/>
              <w:bottom w:val="single" w:sz="4"/>
              <w:right w:val="nil"/>
            </w:tcBorders>
          </w:tcPr>
          <w:p>
            <w:pPr>
              <w:pStyle w:val="0"/>
            </w:pPr>
            <w:r>
              <w:rPr>
                <w:sz w:val="24"/>
              </w:rPr>
            </w:r>
          </w:p>
        </w:tc>
      </w:tr>
      <w:tr>
        <w:tc>
          <w:tcPr>
            <w:gridSpan w:val="3"/>
            <w:tcW w:w="13558" w:type="dxa"/>
            <w:tcBorders>
              <w:top w:val="nil"/>
              <w:left w:val="nil"/>
              <w:bottom w:val="nil"/>
              <w:right w:val="nil"/>
            </w:tcBorders>
          </w:tcPr>
          <w:p>
            <w:pPr>
              <w:pStyle w:val="0"/>
            </w:pPr>
            <w:r>
              <w:rPr>
                <w:sz w:val="24"/>
              </w:rPr>
              <w:t xml:space="preserve">3. Сведения о фактическом достижении показателей, характеризующих объем и (или) качество государственной услуги:</w:t>
            </w:r>
          </w:p>
        </w:tc>
      </w:tr>
      <w:tr>
        <w:tc>
          <w:tcPr>
            <w:gridSpan w:val="3"/>
            <w:tcW w:w="13558" w:type="dxa"/>
            <w:tcBorders>
              <w:top w:val="nil"/>
              <w:left w:val="nil"/>
              <w:bottom w:val="nil"/>
              <w:right w:val="nil"/>
            </w:tcBorders>
          </w:tcPr>
          <w:p>
            <w:pPr>
              <w:pStyle w:val="0"/>
            </w:pPr>
            <w:r>
              <w:rPr>
                <w:sz w:val="24"/>
              </w:rPr>
              <w:t xml:space="preserve">3.1. Сведения о фактическом достижении показателей, характеризующих качество государственной услуги:</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893"/>
        <w:gridCol w:w="1020"/>
        <w:gridCol w:w="1020"/>
        <w:gridCol w:w="1020"/>
        <w:gridCol w:w="1020"/>
        <w:gridCol w:w="1020"/>
        <w:gridCol w:w="907"/>
        <w:gridCol w:w="794"/>
        <w:gridCol w:w="794"/>
        <w:gridCol w:w="907"/>
        <w:gridCol w:w="907"/>
        <w:gridCol w:w="794"/>
        <w:gridCol w:w="794"/>
        <w:gridCol w:w="850"/>
        <w:gridCol w:w="850"/>
      </w:tblGrid>
      <w:tr>
        <w:tc>
          <w:tcPr>
            <w:tcW w:w="893" w:type="dxa"/>
            <w:vMerge w:val="restart"/>
          </w:tcPr>
          <w:p>
            <w:pPr>
              <w:pStyle w:val="0"/>
              <w:jc w:val="center"/>
            </w:pPr>
            <w:r>
              <w:rPr>
                <w:sz w:val="24"/>
              </w:rPr>
              <w:t xml:space="preserve">Уникальный номер реестровой записи </w:t>
            </w:r>
            <w:hyperlink w:history="0" w:anchor="P1133" w:tooltip="&lt;8&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&lt;8&gt;</w:t>
              </w:r>
            </w:hyperlink>
          </w:p>
        </w:tc>
        <w:tc>
          <w:tcPr>
            <w:gridSpan w:val="3"/>
            <w:tcW w:w="3060" w:type="dxa"/>
            <w:vMerge w:val="restart"/>
          </w:tcPr>
          <w:p>
            <w:pPr>
              <w:pStyle w:val="0"/>
              <w:jc w:val="center"/>
            </w:pPr>
            <w:r>
              <w:rPr>
                <w:sz w:val="24"/>
              </w:rPr>
              <w:t xml:space="preserve">Показатель, характеризующий содержание государственной услуги</w:t>
            </w:r>
          </w:p>
        </w:tc>
        <w:tc>
          <w:tcPr>
            <w:gridSpan w:val="2"/>
            <w:tcW w:w="2040" w:type="dxa"/>
            <w:vMerge w:val="restart"/>
          </w:tcPr>
          <w:p>
            <w:pPr>
              <w:pStyle w:val="0"/>
              <w:jc w:val="center"/>
            </w:pPr>
            <w:r>
              <w:rPr>
                <w:sz w:val="24"/>
              </w:rPr>
              <w:t xml:space="preserve">Показатель, характеризующий условия (формы) оказания государственной услуги</w:t>
            </w:r>
          </w:p>
        </w:tc>
        <w:tc>
          <w:tcPr>
            <w:gridSpan w:val="9"/>
            <w:tcW w:w="7597" w:type="dxa"/>
          </w:tcPr>
          <w:p>
            <w:pPr>
              <w:pStyle w:val="0"/>
              <w:jc w:val="center"/>
            </w:pPr>
            <w:r>
              <w:rPr>
                <w:sz w:val="24"/>
              </w:rPr>
              <w:t xml:space="preserve">Показатель качества государственной услуги</w:t>
            </w:r>
          </w:p>
        </w:tc>
      </w:tr>
      <w:tr>
        <w:tc>
          <w:tcPr>
            <w:vMerge w:val="continue"/>
          </w:tcPr>
          <w:p/>
        </w:tc>
        <w:tc>
          <w:tcPr>
            <w:gridSpan w:val="3"/>
            <w:vMerge w:val="continue"/>
          </w:tcPr>
          <w:p/>
        </w:tc>
        <w:tc>
          <w:tcPr>
            <w:gridSpan w:val="2"/>
            <w:vMerge w:val="continue"/>
          </w:tcPr>
          <w:p/>
        </w:tc>
        <w:tc>
          <w:tcPr>
            <w:tcW w:w="907" w:type="dxa"/>
            <w:vMerge w:val="restart"/>
          </w:tcPr>
          <w:p>
            <w:pPr>
              <w:pStyle w:val="0"/>
              <w:jc w:val="center"/>
            </w:pPr>
            <w:r>
              <w:rPr>
                <w:sz w:val="24"/>
              </w:rPr>
              <w:t xml:space="preserve">наименование показателя </w:t>
            </w:r>
            <w:hyperlink w:history="0" w:anchor="P1129" w:tooltip="&lt;4&gt; Формируется в соответствии с государственным заданием.">
              <w:r>
                <w:rPr>
                  <w:sz w:val="24"/>
                  <w:color w:val="0000ff"/>
                </w:rPr>
                <w:t xml:space="preserve">&lt;4&gt;</w:t>
              </w:r>
            </w:hyperlink>
          </w:p>
        </w:tc>
        <w:tc>
          <w:tcPr>
            <w:gridSpan w:val="2"/>
            <w:tcW w:w="1588" w:type="dxa"/>
            <w:vMerge w:val="restart"/>
          </w:tcPr>
          <w:p>
            <w:pPr>
              <w:pStyle w:val="0"/>
              <w:jc w:val="center"/>
            </w:pPr>
            <w:r>
              <w:rPr>
                <w:sz w:val="24"/>
              </w:rPr>
              <w:t xml:space="preserve">единица измерения</w:t>
            </w:r>
          </w:p>
        </w:tc>
        <w:tc>
          <w:tcPr>
            <w:gridSpan w:val="3"/>
            <w:tcW w:w="2608" w:type="dxa"/>
          </w:tcPr>
          <w:p>
            <w:pPr>
              <w:pStyle w:val="0"/>
              <w:jc w:val="center"/>
            </w:pPr>
            <w:r>
              <w:rPr>
                <w:sz w:val="24"/>
              </w:rPr>
              <w:t xml:space="preserve">значение</w:t>
            </w:r>
          </w:p>
        </w:tc>
        <w:tc>
          <w:tcPr>
            <w:tcW w:w="794" w:type="dxa"/>
            <w:vMerge w:val="restart"/>
          </w:tcPr>
          <w:p>
            <w:pPr>
              <w:pStyle w:val="0"/>
              <w:jc w:val="center"/>
            </w:pPr>
            <w:r>
              <w:rPr>
                <w:sz w:val="24"/>
              </w:rPr>
              <w:t xml:space="preserve">допустимое (возможное) отклонение </w:t>
            </w:r>
            <w:hyperlink w:history="0" w:anchor="P1132" w:tooltip="&lt;7&gt; Рассчитывается путем умножения значения показателя объема и (или) качества государственной услуги (работы), установленного в государственном задании, на установленное в государственном задании значение допустимого (возможного) отклонения от установленных показателей качества (объема) государственной услуги (работы), в пределах которого государственное задание считается выполненным (в процентах), при установлении допустимого (возможного) отклонения от установленных показателей качества (объема) госуда...">
              <w:r>
                <w:rPr>
                  <w:sz w:val="24"/>
                  <w:color w:val="0000ff"/>
                </w:rPr>
                <w:t xml:space="preserve">&lt;7&gt;</w:t>
              </w:r>
            </w:hyperlink>
          </w:p>
        </w:tc>
        <w:tc>
          <w:tcPr>
            <w:tcW w:w="850" w:type="dxa"/>
            <w:vMerge w:val="restart"/>
          </w:tcPr>
          <w:p>
            <w:pPr>
              <w:pStyle w:val="0"/>
              <w:jc w:val="center"/>
            </w:pPr>
            <w:r>
              <w:rPr>
                <w:sz w:val="24"/>
              </w:rPr>
              <w:t xml:space="preserve">отклонение, превышающее допустимое (возможное) значение</w:t>
            </w:r>
          </w:p>
        </w:tc>
        <w:tc>
          <w:tcPr>
            <w:tcW w:w="850" w:type="dxa"/>
            <w:vMerge w:val="restart"/>
          </w:tcPr>
          <w:p>
            <w:pPr>
              <w:pStyle w:val="0"/>
              <w:jc w:val="center"/>
            </w:pPr>
            <w:r>
              <w:rPr>
                <w:sz w:val="24"/>
              </w:rPr>
              <w:t xml:space="preserve">причина отклонения</w:t>
            </w:r>
          </w:p>
        </w:tc>
      </w:tr>
      <w:tr>
        <w:tc>
          <w:tcPr>
            <w:vMerge w:val="continue"/>
          </w:tcPr>
          <w:p/>
        </w:tc>
        <w:tc>
          <w:tcPr>
            <w:gridSpan w:val="3"/>
            <w:vMerge w:val="continue"/>
          </w:tcPr>
          <w:p/>
        </w:tc>
        <w:tc>
          <w:tcPr>
            <w:gridSpan w:val="2"/>
            <w:vMerge w:val="continue"/>
          </w:tcPr>
          <w:p/>
        </w:tc>
        <w:tc>
          <w:tcPr>
            <w:vMerge w:val="continue"/>
          </w:tcPr>
          <w:p/>
        </w:tc>
        <w:tc>
          <w:tcPr>
            <w:gridSpan w:val="2"/>
            <w:vMerge w:val="continue"/>
          </w:tcPr>
          <w:p/>
        </w:tc>
        <w:tc>
          <w:tcPr>
            <w:tcW w:w="907" w:type="dxa"/>
            <w:vMerge w:val="restart"/>
          </w:tcPr>
          <w:p>
            <w:pPr>
              <w:pStyle w:val="0"/>
              <w:jc w:val="center"/>
            </w:pPr>
            <w:r>
              <w:rPr>
                <w:sz w:val="24"/>
              </w:rPr>
              <w:t xml:space="preserve">утверждено в государственном задании на год </w:t>
            </w:r>
            <w:hyperlink w:history="0" w:anchor="P1129" w:tooltip="&lt;4&gt; Формируется в соответствии с государственным заданием.">
              <w:r>
                <w:rPr>
                  <w:sz w:val="24"/>
                  <w:color w:val="0000ff"/>
                </w:rPr>
                <w:t xml:space="preserve">&lt;4&gt;</w:t>
              </w:r>
            </w:hyperlink>
          </w:p>
        </w:tc>
        <w:tc>
          <w:tcPr>
            <w:tcW w:w="907" w:type="dxa"/>
            <w:vMerge w:val="restart"/>
          </w:tcPr>
          <w:p>
            <w:pPr>
              <w:pStyle w:val="0"/>
              <w:jc w:val="center"/>
            </w:pPr>
            <w:r>
              <w:rPr>
                <w:sz w:val="24"/>
              </w:rPr>
              <w:t xml:space="preserve">утверждено в государственном задании на отчетную дату </w:t>
            </w:r>
            <w:hyperlink w:history="0" w:anchor="P1130" w:tooltip="&lt;5&gt; Заполняется в случае установления органом, осуществляющим функции и полномочия учредителя, требования о представлении промежуточного отчета о выполнении государственного задания.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выполнения работы) рассчитывается путем умножения годового объема государственной услуги (работы) на установленный процент достижения результатов выполнения г...">
              <w:r>
                <w:rPr>
                  <w:sz w:val="24"/>
                  <w:color w:val="0000ff"/>
                </w:rPr>
                <w:t xml:space="preserve">&lt;5&gt;</w:t>
              </w:r>
            </w:hyperlink>
          </w:p>
        </w:tc>
        <w:tc>
          <w:tcPr>
            <w:tcW w:w="794" w:type="dxa"/>
            <w:vMerge w:val="restart"/>
          </w:tcPr>
          <w:p>
            <w:pPr>
              <w:pStyle w:val="0"/>
              <w:jc w:val="center"/>
            </w:pPr>
            <w:r>
              <w:rPr>
                <w:sz w:val="24"/>
              </w:rPr>
              <w:t xml:space="preserve">исполнено на отчетную дату </w:t>
            </w:r>
            <w:hyperlink w:history="0" w:anchor="P1131" w:tooltip="&lt;6&gt; В предварительном отчете указываются показатели объема и (или) качества государственной услуги (работы), запланированные к исполнению по завершении текущего финансового года.">
              <w:r>
                <w:rPr>
                  <w:sz w:val="24"/>
                  <w:color w:val="0000ff"/>
                </w:rPr>
                <w:t xml:space="preserve">&lt;6&gt;</w:t>
              </w:r>
            </w:hyperlink>
          </w:p>
        </w:tc>
        <w:tc>
          <w:tcPr>
            <w:vMerge w:val="continue"/>
          </w:tcPr>
          <w:p/>
        </w:tc>
        <w:tc>
          <w:tcPr>
            <w:vMerge w:val="continue"/>
          </w:tcPr>
          <w:p/>
        </w:tc>
        <w:tc>
          <w:tcPr>
            <w:vMerge w:val="continue"/>
          </w:tcPr>
          <w:p/>
        </w:tc>
      </w:tr>
      <w:tr>
        <w:tc>
          <w:tcPr>
            <w:vMerge w:val="continue"/>
          </w:tcPr>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tcW w:w="794" w:type="dxa"/>
          </w:tcPr>
          <w:p>
            <w:pPr>
              <w:pStyle w:val="0"/>
              <w:jc w:val="center"/>
            </w:pPr>
            <w:r>
              <w:rPr>
                <w:sz w:val="24"/>
              </w:rPr>
              <w:t xml:space="preserve">наименование </w:t>
            </w:r>
            <w:hyperlink w:history="0" w:anchor="P1129" w:tooltip="&lt;4&gt; Формируется в соответствии с государственным заданием.">
              <w:r>
                <w:rPr>
                  <w:sz w:val="24"/>
                  <w:color w:val="0000ff"/>
                </w:rPr>
                <w:t xml:space="preserve">&lt;4&gt;</w:t>
              </w:r>
            </w:hyperlink>
          </w:p>
        </w:tc>
        <w:tc>
          <w:tcPr>
            <w:tcW w:w="794" w:type="dxa"/>
          </w:tcPr>
          <w:p>
            <w:pPr>
              <w:pStyle w:val="0"/>
              <w:jc w:val="center"/>
            </w:pPr>
            <w:r>
              <w:rPr>
                <w:sz w:val="24"/>
              </w:rPr>
              <w:t xml:space="preserve">код по </w:t>
            </w:r>
            <w:hyperlink w:history="0" r:id="rId192"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893"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850" w:type="dxa"/>
          </w:tcPr>
          <w:p>
            <w:pPr>
              <w:pStyle w:val="0"/>
            </w:pPr>
            <w:r>
              <w:rPr>
                <w:sz w:val="24"/>
              </w:rPr>
            </w:r>
          </w:p>
        </w:tc>
      </w:tr>
      <w:tr>
        <w:tc>
          <w:tcPr>
            <w:tcW w:w="893" w:type="dxa"/>
          </w:tcPr>
          <w:p>
            <w:pPr>
              <w:pStyle w:val="0"/>
            </w:pPr>
            <w:r>
              <w:rPr>
                <w:sz w:val="24"/>
              </w:rPr>
            </w:r>
          </w:p>
        </w:tc>
        <w:tc>
          <w:tcPr>
            <w:tcW w:w="1020" w:type="dxa"/>
          </w:tcPr>
          <w:p>
            <w:pPr>
              <w:pStyle w:val="0"/>
            </w:pPr>
            <w:r>
              <w:rPr>
                <w:sz w:val="24"/>
              </w:rPr>
            </w:r>
          </w:p>
        </w:tc>
        <w:tc>
          <w:tcPr>
            <w:tcW w:w="1020" w:type="dxa"/>
          </w:tcPr>
          <w:p>
            <w:pPr>
              <w:pStyle w:val="0"/>
            </w:pPr>
            <w:r>
              <w:rPr>
                <w:sz w:val="24"/>
              </w:rPr>
            </w:r>
          </w:p>
        </w:tc>
        <w:tc>
          <w:tcPr>
            <w:tcW w:w="1020" w:type="dxa"/>
          </w:tcPr>
          <w:p>
            <w:pPr>
              <w:pStyle w:val="0"/>
            </w:pPr>
            <w:r>
              <w:rPr>
                <w:sz w:val="24"/>
              </w:rPr>
            </w:r>
          </w:p>
        </w:tc>
        <w:tc>
          <w:tcPr>
            <w:tcW w:w="1020" w:type="dxa"/>
          </w:tcPr>
          <w:p>
            <w:pPr>
              <w:pStyle w:val="0"/>
            </w:pPr>
            <w:r>
              <w:rPr>
                <w:sz w:val="24"/>
              </w:rPr>
            </w:r>
          </w:p>
        </w:tc>
        <w:tc>
          <w:tcPr>
            <w:tcW w:w="1020"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550"/>
      </w:tblGrid>
      <w:tr>
        <w:tc>
          <w:tcPr>
            <w:tcW w:w="13550" w:type="dxa"/>
            <w:tcBorders>
              <w:top w:val="nil"/>
              <w:left w:val="nil"/>
              <w:bottom w:val="nil"/>
              <w:right w:val="nil"/>
            </w:tcBorders>
          </w:tcPr>
          <w:p>
            <w:pPr>
              <w:pStyle w:val="0"/>
            </w:pPr>
            <w:r>
              <w:rPr>
                <w:sz w:val="24"/>
              </w:rPr>
              <w:t xml:space="preserve">3.2. Сведения о фактическом достижении показателей, характеризующих объем государственной услуги</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94"/>
        <w:gridCol w:w="964"/>
        <w:gridCol w:w="964"/>
        <w:gridCol w:w="964"/>
        <w:gridCol w:w="964"/>
        <w:gridCol w:w="964"/>
        <w:gridCol w:w="737"/>
        <w:gridCol w:w="680"/>
        <w:gridCol w:w="794"/>
        <w:gridCol w:w="850"/>
        <w:gridCol w:w="907"/>
        <w:gridCol w:w="850"/>
        <w:gridCol w:w="794"/>
        <w:gridCol w:w="907"/>
        <w:gridCol w:w="624"/>
        <w:gridCol w:w="850"/>
      </w:tblGrid>
      <w:tr>
        <w:tc>
          <w:tcPr>
            <w:tcW w:w="794" w:type="dxa"/>
            <w:vMerge w:val="restart"/>
          </w:tcPr>
          <w:p>
            <w:pPr>
              <w:pStyle w:val="0"/>
              <w:jc w:val="center"/>
            </w:pPr>
            <w:r>
              <w:rPr>
                <w:sz w:val="24"/>
              </w:rPr>
              <w:t xml:space="preserve">Уникальный номер реестровой записи </w:t>
            </w:r>
            <w:hyperlink w:history="0" w:anchor="P1133" w:tooltip="&lt;8&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&lt;8&gt;</w:t>
              </w:r>
            </w:hyperlink>
          </w:p>
        </w:tc>
        <w:tc>
          <w:tcPr>
            <w:gridSpan w:val="3"/>
            <w:tcW w:w="2892" w:type="dxa"/>
            <w:vMerge w:val="restart"/>
          </w:tcPr>
          <w:p>
            <w:pPr>
              <w:pStyle w:val="0"/>
              <w:jc w:val="center"/>
            </w:pPr>
            <w:r>
              <w:rPr>
                <w:sz w:val="24"/>
              </w:rPr>
              <w:t xml:space="preserve">Показатель, характеризующий содержание государственной услуги</w:t>
            </w:r>
          </w:p>
        </w:tc>
        <w:tc>
          <w:tcPr>
            <w:gridSpan w:val="2"/>
            <w:tcW w:w="1928" w:type="dxa"/>
            <w:vMerge w:val="restart"/>
          </w:tcPr>
          <w:p>
            <w:pPr>
              <w:pStyle w:val="0"/>
              <w:jc w:val="center"/>
            </w:pPr>
            <w:r>
              <w:rPr>
                <w:sz w:val="24"/>
              </w:rPr>
              <w:t xml:space="preserve">Показатель, характеризующий условия (формы) оказания государственной услуги</w:t>
            </w:r>
          </w:p>
        </w:tc>
        <w:tc>
          <w:tcPr>
            <w:gridSpan w:val="9"/>
            <w:tcW w:w="7143" w:type="dxa"/>
          </w:tcPr>
          <w:p>
            <w:pPr>
              <w:pStyle w:val="0"/>
              <w:jc w:val="center"/>
            </w:pPr>
            <w:r>
              <w:rPr>
                <w:sz w:val="24"/>
              </w:rPr>
              <w:t xml:space="preserve">Показатель объема государственной услуги</w:t>
            </w:r>
          </w:p>
        </w:tc>
        <w:tc>
          <w:tcPr>
            <w:tcW w:w="850" w:type="dxa"/>
            <w:vMerge w:val="restart"/>
          </w:tcPr>
          <w:p>
            <w:pPr>
              <w:pStyle w:val="0"/>
              <w:jc w:val="center"/>
            </w:pPr>
            <w:r>
              <w:rPr>
                <w:sz w:val="24"/>
              </w:rPr>
              <w:t xml:space="preserve">Размер платы (цена, тариф)</w:t>
            </w:r>
          </w:p>
        </w:tc>
      </w:tr>
      <w:tr>
        <w:tc>
          <w:tcPr>
            <w:vMerge w:val="continue"/>
          </w:tcPr>
          <w:p/>
        </w:tc>
        <w:tc>
          <w:tcPr>
            <w:gridSpan w:val="3"/>
            <w:vMerge w:val="continue"/>
          </w:tcPr>
          <w:p/>
        </w:tc>
        <w:tc>
          <w:tcPr>
            <w:gridSpan w:val="2"/>
            <w:vMerge w:val="continue"/>
          </w:tcPr>
          <w:p/>
        </w:tc>
        <w:tc>
          <w:tcPr>
            <w:tcW w:w="737" w:type="dxa"/>
            <w:vMerge w:val="restart"/>
          </w:tcPr>
          <w:p>
            <w:pPr>
              <w:pStyle w:val="0"/>
              <w:jc w:val="center"/>
            </w:pPr>
            <w:r>
              <w:rPr>
                <w:sz w:val="24"/>
              </w:rPr>
              <w:t xml:space="preserve">наименование показателя </w:t>
            </w:r>
            <w:hyperlink w:history="0" w:anchor="P1129" w:tooltip="&lt;4&gt; Формируется в соответствии с государственным заданием.">
              <w:r>
                <w:rPr>
                  <w:sz w:val="24"/>
                  <w:color w:val="0000ff"/>
                </w:rPr>
                <w:t xml:space="preserve">&lt;4&gt;</w:t>
              </w:r>
            </w:hyperlink>
          </w:p>
        </w:tc>
        <w:tc>
          <w:tcPr>
            <w:gridSpan w:val="2"/>
            <w:tcW w:w="1474" w:type="dxa"/>
            <w:vMerge w:val="restart"/>
          </w:tcPr>
          <w:p>
            <w:pPr>
              <w:pStyle w:val="0"/>
              <w:jc w:val="center"/>
            </w:pPr>
            <w:r>
              <w:rPr>
                <w:sz w:val="24"/>
              </w:rPr>
              <w:t xml:space="preserve">единица измерения</w:t>
            </w:r>
          </w:p>
        </w:tc>
        <w:tc>
          <w:tcPr>
            <w:gridSpan w:val="3"/>
            <w:tcW w:w="2607" w:type="dxa"/>
          </w:tcPr>
          <w:p>
            <w:pPr>
              <w:pStyle w:val="0"/>
              <w:jc w:val="center"/>
            </w:pPr>
            <w:r>
              <w:rPr>
                <w:sz w:val="24"/>
              </w:rPr>
              <w:t xml:space="preserve">значения</w:t>
            </w:r>
          </w:p>
        </w:tc>
        <w:tc>
          <w:tcPr>
            <w:tcW w:w="794" w:type="dxa"/>
            <w:vMerge w:val="restart"/>
          </w:tcPr>
          <w:p>
            <w:pPr>
              <w:pStyle w:val="0"/>
              <w:jc w:val="center"/>
            </w:pPr>
            <w:r>
              <w:rPr>
                <w:sz w:val="24"/>
              </w:rPr>
              <w:t xml:space="preserve">допустимое (возможное) отклонение </w:t>
            </w:r>
            <w:hyperlink w:history="0" w:anchor="P1132" w:tooltip="&lt;7&gt; Рассчитывается путем умножения значения показателя объема и (или) качества государственной услуги (работы), установленного в государственном задании, на установленное в государственном задании значение допустимого (возможного) отклонения от установленных показателей качества (объема) государственной услуги (работы), в пределах которого государственное задание считается выполненным (в процентах), при установлении допустимого (возможного) отклонения от установленных показателей качества (объема) госуда...">
              <w:r>
                <w:rPr>
                  <w:sz w:val="24"/>
                  <w:color w:val="0000ff"/>
                </w:rPr>
                <w:t xml:space="preserve">&lt;7&gt;</w:t>
              </w:r>
            </w:hyperlink>
          </w:p>
        </w:tc>
        <w:tc>
          <w:tcPr>
            <w:tcW w:w="907" w:type="dxa"/>
            <w:vMerge w:val="restart"/>
          </w:tcPr>
          <w:p>
            <w:pPr>
              <w:pStyle w:val="0"/>
              <w:jc w:val="center"/>
            </w:pPr>
            <w:r>
              <w:rPr>
                <w:sz w:val="24"/>
              </w:rPr>
              <w:t xml:space="preserve">отклонение, превышающее допустимое (возможное) значение</w:t>
            </w:r>
          </w:p>
        </w:tc>
        <w:tc>
          <w:tcPr>
            <w:tcW w:w="624" w:type="dxa"/>
            <w:vMerge w:val="restart"/>
          </w:tcPr>
          <w:p>
            <w:pPr>
              <w:pStyle w:val="0"/>
              <w:jc w:val="center"/>
            </w:pPr>
            <w:r>
              <w:rPr>
                <w:sz w:val="24"/>
              </w:rPr>
              <w:t xml:space="preserve">причина отклонения</w:t>
            </w:r>
          </w:p>
        </w:tc>
        <w:tc>
          <w:tcPr>
            <w:vMerge w:val="continue"/>
          </w:tcPr>
          <w:p/>
        </w:tc>
      </w:tr>
      <w:tr>
        <w:tc>
          <w:tcPr>
            <w:vMerge w:val="continue"/>
          </w:tcPr>
          <w:p/>
        </w:tc>
        <w:tc>
          <w:tcPr>
            <w:gridSpan w:val="3"/>
            <w:vMerge w:val="continue"/>
          </w:tcPr>
          <w:p/>
        </w:tc>
        <w:tc>
          <w:tcPr>
            <w:gridSpan w:val="2"/>
            <w:vMerge w:val="continue"/>
          </w:tcPr>
          <w:p/>
        </w:tc>
        <w:tc>
          <w:tcPr>
            <w:vMerge w:val="continue"/>
          </w:tcPr>
          <w:p/>
        </w:tc>
        <w:tc>
          <w:tcPr>
            <w:gridSpan w:val="2"/>
            <w:vMerge w:val="continue"/>
          </w:tcPr>
          <w:p/>
        </w:tc>
        <w:tc>
          <w:tcPr>
            <w:tcW w:w="850" w:type="dxa"/>
            <w:vMerge w:val="restart"/>
          </w:tcPr>
          <w:p>
            <w:pPr>
              <w:pStyle w:val="0"/>
              <w:jc w:val="center"/>
            </w:pPr>
            <w:r>
              <w:rPr>
                <w:sz w:val="24"/>
              </w:rPr>
              <w:t xml:space="preserve">утверждено в государственном задании на год </w:t>
            </w:r>
            <w:hyperlink w:history="0" w:anchor="P1129" w:tooltip="&lt;4&gt; Формируется в соответствии с государственным заданием.">
              <w:r>
                <w:rPr>
                  <w:sz w:val="24"/>
                  <w:color w:val="0000ff"/>
                </w:rPr>
                <w:t xml:space="preserve">&lt;4&gt;</w:t>
              </w:r>
            </w:hyperlink>
          </w:p>
        </w:tc>
        <w:tc>
          <w:tcPr>
            <w:tcW w:w="907" w:type="dxa"/>
            <w:vMerge w:val="restart"/>
          </w:tcPr>
          <w:p>
            <w:pPr>
              <w:pStyle w:val="0"/>
              <w:jc w:val="center"/>
            </w:pPr>
            <w:r>
              <w:rPr>
                <w:sz w:val="24"/>
              </w:rPr>
              <w:t xml:space="preserve">утверждено в государственном задании на отчетную дату </w:t>
            </w:r>
            <w:hyperlink w:history="0" w:anchor="P1130" w:tooltip="&lt;5&gt; Заполняется в случае установления органом, осуществляющим функции и полномочия учредителя, требования о представлении промежуточного отчета о выполнении государственного задания.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выполнения работы) рассчитывается путем умножения годового объема государственной услуги (работы) на установленный процент достижения результатов выполнения г...">
              <w:r>
                <w:rPr>
                  <w:sz w:val="24"/>
                  <w:color w:val="0000ff"/>
                </w:rPr>
                <w:t xml:space="preserve">&lt;5&gt;</w:t>
              </w:r>
            </w:hyperlink>
          </w:p>
        </w:tc>
        <w:tc>
          <w:tcPr>
            <w:tcW w:w="850" w:type="dxa"/>
            <w:vMerge w:val="restart"/>
          </w:tcPr>
          <w:p>
            <w:pPr>
              <w:pStyle w:val="0"/>
              <w:jc w:val="center"/>
            </w:pPr>
            <w:r>
              <w:rPr>
                <w:sz w:val="24"/>
              </w:rPr>
              <w:t xml:space="preserve">исполнено на отчетную дату </w:t>
            </w:r>
            <w:hyperlink w:history="0" w:anchor="P1131" w:tooltip="&lt;6&gt; В предварительном отчете указываются показатели объема и (или) качества государственной услуги (работы), запланированные к исполнению по завершении текущего финансового года.">
              <w:r>
                <w:rPr>
                  <w:sz w:val="24"/>
                  <w:color w:val="0000ff"/>
                </w:rPr>
                <w:t xml:space="preserve">&lt;6&gt;</w:t>
              </w:r>
            </w:hyperlink>
          </w:p>
        </w:tc>
        <w:tc>
          <w:tcPr>
            <w:vMerge w:val="continue"/>
          </w:tcPr>
          <w:p/>
        </w:tc>
        <w:tc>
          <w:tcPr>
            <w:vMerge w:val="continue"/>
          </w:tcPr>
          <w:p/>
        </w:tc>
        <w:tc>
          <w:tcPr>
            <w:vMerge w:val="continue"/>
          </w:tcPr>
          <w:p/>
        </w:tc>
        <w:tc>
          <w:tcPr>
            <w:vMerge w:val="continue"/>
          </w:tcPr>
          <w:p/>
        </w:tc>
      </w:tr>
      <w:tr>
        <w:tc>
          <w:tcPr>
            <w:vMerge w:val="continue"/>
          </w:tcPr>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tcW w:w="680" w:type="dxa"/>
          </w:tcPr>
          <w:p>
            <w:pPr>
              <w:pStyle w:val="0"/>
              <w:jc w:val="center"/>
            </w:pPr>
            <w:r>
              <w:rPr>
                <w:sz w:val="24"/>
              </w:rPr>
              <w:t xml:space="preserve">наименование </w:t>
            </w:r>
            <w:hyperlink w:history="0" w:anchor="P1129" w:tooltip="&lt;4&gt; Формируется в соответствии с государственным заданием.">
              <w:r>
                <w:rPr>
                  <w:sz w:val="24"/>
                  <w:color w:val="0000ff"/>
                </w:rPr>
                <w:t xml:space="preserve">&lt;4&gt;</w:t>
              </w:r>
            </w:hyperlink>
          </w:p>
        </w:tc>
        <w:tc>
          <w:tcPr>
            <w:tcW w:w="794" w:type="dxa"/>
          </w:tcPr>
          <w:p>
            <w:pPr>
              <w:pStyle w:val="0"/>
              <w:jc w:val="center"/>
            </w:pPr>
            <w:r>
              <w:rPr>
                <w:sz w:val="24"/>
              </w:rPr>
              <w:t xml:space="preserve">код по </w:t>
            </w:r>
            <w:hyperlink w:history="0" r:id="rId193"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79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r>
        <w:tc>
          <w:tcPr>
            <w:tcW w:w="79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8277"/>
        <w:gridCol w:w="5329"/>
      </w:tblGrid>
      <w:tr>
        <w:tc>
          <w:tcPr>
            <w:gridSpan w:val="2"/>
            <w:tcW w:w="13606" w:type="dxa"/>
            <w:tcBorders>
              <w:top w:val="nil"/>
              <w:left w:val="nil"/>
              <w:bottom w:val="nil"/>
              <w:right w:val="nil"/>
            </w:tcBorders>
          </w:tcPr>
          <w:p>
            <w:pPr>
              <w:pStyle w:val="0"/>
              <w:outlineLvl w:val="2"/>
              <w:jc w:val="center"/>
            </w:pPr>
            <w:r>
              <w:rPr>
                <w:sz w:val="24"/>
              </w:rPr>
              <w:t xml:space="preserve">Часть 2. Сведения о выполняемых работах </w:t>
            </w:r>
            <w:hyperlink w:history="0" w:anchor="P1128" w:tooltip="&lt;3&gt; Формируется при установлении государственного задания на оказание государственной услуги (услуг) и выполнение работы (работ) и содержит требования к оказанию государственной услуги (услуг) и выполнению работы (работ) раздельно по каждой из государственных услуг (работ) с указанием порядкового номера раздела.">
              <w:r>
                <w:rPr>
                  <w:sz w:val="24"/>
                  <w:color w:val="0000ff"/>
                </w:rPr>
                <w:t xml:space="preserve">&lt;3&gt;</w:t>
              </w:r>
            </w:hyperlink>
          </w:p>
        </w:tc>
      </w:tr>
      <w:tr>
        <w:tc>
          <w:tcPr>
            <w:gridSpan w:val="2"/>
            <w:tcW w:w="13606" w:type="dxa"/>
            <w:tcBorders>
              <w:top w:val="nil"/>
              <w:left w:val="nil"/>
              <w:bottom w:val="nil"/>
              <w:right w:val="nil"/>
            </w:tcBorders>
          </w:tcPr>
          <w:p>
            <w:pPr>
              <w:pStyle w:val="0"/>
            </w:pPr>
            <w:r>
              <w:rPr>
                <w:sz w:val="24"/>
              </w:rPr>
            </w:r>
          </w:p>
        </w:tc>
      </w:tr>
      <w:tr>
        <w:tc>
          <w:tcPr>
            <w:gridSpan w:val="2"/>
            <w:tcW w:w="13606" w:type="dxa"/>
            <w:tcBorders>
              <w:top w:val="nil"/>
              <w:left w:val="nil"/>
              <w:bottom w:val="nil"/>
              <w:right w:val="nil"/>
            </w:tcBorders>
          </w:tcPr>
          <w:p>
            <w:pPr>
              <w:pStyle w:val="0"/>
              <w:jc w:val="center"/>
            </w:pPr>
            <w:r>
              <w:rPr>
                <w:sz w:val="24"/>
              </w:rPr>
              <w:t xml:space="preserve">Раздел ____</w:t>
            </w:r>
          </w:p>
        </w:tc>
      </w:tr>
      <w:tr>
        <w:tc>
          <w:tcPr>
            <w:gridSpan w:val="2"/>
            <w:tcW w:w="13606" w:type="dxa"/>
            <w:tcBorders>
              <w:top w:val="nil"/>
              <w:left w:val="nil"/>
              <w:bottom w:val="nil"/>
              <w:right w:val="nil"/>
            </w:tcBorders>
          </w:tcPr>
          <w:p>
            <w:pPr>
              <w:pStyle w:val="0"/>
            </w:pPr>
            <w:r>
              <w:rPr>
                <w:sz w:val="24"/>
              </w:rPr>
            </w:r>
          </w:p>
        </w:tc>
      </w:tr>
      <w:tr>
        <w:tc>
          <w:tcPr>
            <w:tcW w:w="8277" w:type="dxa"/>
            <w:tcBorders>
              <w:top w:val="nil"/>
              <w:left w:val="nil"/>
              <w:bottom w:val="nil"/>
              <w:right w:val="nil"/>
            </w:tcBorders>
          </w:tcPr>
          <w:p>
            <w:pPr>
              <w:pStyle w:val="0"/>
            </w:pPr>
            <w:r>
              <w:rPr>
                <w:sz w:val="24"/>
              </w:rPr>
              <w:t xml:space="preserve">1. Наименование работы</w:t>
            </w:r>
          </w:p>
        </w:tc>
        <w:tc>
          <w:tcPr>
            <w:tcW w:w="5329" w:type="dxa"/>
            <w:tcBorders>
              <w:top w:val="nil"/>
              <w:left w:val="nil"/>
              <w:bottom w:val="single" w:sz="4"/>
              <w:right w:val="nil"/>
            </w:tcBorders>
          </w:tcPr>
          <w:p>
            <w:pPr>
              <w:pStyle w:val="0"/>
            </w:pPr>
            <w:r>
              <w:rPr>
                <w:sz w:val="24"/>
              </w:rPr>
            </w:r>
          </w:p>
        </w:tc>
      </w:tr>
      <w:tr>
        <w:tc>
          <w:tcPr>
            <w:tcW w:w="8277" w:type="dxa"/>
            <w:tcBorders>
              <w:top w:val="nil"/>
              <w:left w:val="nil"/>
              <w:bottom w:val="nil"/>
              <w:right w:val="nil"/>
            </w:tcBorders>
          </w:tcPr>
          <w:p>
            <w:pPr>
              <w:pStyle w:val="0"/>
            </w:pPr>
            <w:r>
              <w:rPr>
                <w:sz w:val="24"/>
              </w:rPr>
              <w:t xml:space="preserve">Код по общероссийскому базовому перечню или региональному перечню</w:t>
            </w:r>
          </w:p>
        </w:tc>
        <w:tc>
          <w:tcPr>
            <w:tcW w:w="5329" w:type="dxa"/>
            <w:tcBorders>
              <w:top w:val="single" w:sz="4"/>
              <w:left w:val="nil"/>
              <w:bottom w:val="single" w:sz="4"/>
              <w:right w:val="nil"/>
            </w:tcBorders>
          </w:tcPr>
          <w:p>
            <w:pPr>
              <w:pStyle w:val="0"/>
            </w:pPr>
            <w:r>
              <w:rPr>
                <w:sz w:val="24"/>
              </w:rPr>
            </w:r>
          </w:p>
        </w:tc>
      </w:tr>
      <w:tr>
        <w:tc>
          <w:tcPr>
            <w:tcW w:w="8277" w:type="dxa"/>
            <w:tcBorders>
              <w:top w:val="nil"/>
              <w:left w:val="nil"/>
              <w:bottom w:val="nil"/>
              <w:right w:val="nil"/>
            </w:tcBorders>
          </w:tcPr>
          <w:p>
            <w:pPr>
              <w:pStyle w:val="0"/>
            </w:pPr>
            <w:r>
              <w:rPr>
                <w:sz w:val="24"/>
              </w:rPr>
              <w:t xml:space="preserve">2. Категории потребителей работы</w:t>
            </w:r>
          </w:p>
        </w:tc>
        <w:tc>
          <w:tcPr>
            <w:tcW w:w="5329" w:type="dxa"/>
            <w:tcBorders>
              <w:top w:val="single" w:sz="4"/>
              <w:left w:val="nil"/>
              <w:bottom w:val="single" w:sz="4"/>
              <w:right w:val="nil"/>
            </w:tcBorders>
          </w:tcPr>
          <w:p>
            <w:pPr>
              <w:pStyle w:val="0"/>
            </w:pPr>
            <w:r>
              <w:rPr>
                <w:sz w:val="24"/>
              </w:rPr>
            </w:r>
          </w:p>
        </w:tc>
      </w:tr>
      <w:tr>
        <w:tc>
          <w:tcPr>
            <w:gridSpan w:val="2"/>
            <w:tcW w:w="13606" w:type="dxa"/>
            <w:tcBorders>
              <w:top w:val="nil"/>
              <w:left w:val="nil"/>
              <w:bottom w:val="nil"/>
              <w:right w:val="nil"/>
            </w:tcBorders>
          </w:tcPr>
          <w:p>
            <w:pPr>
              <w:pStyle w:val="0"/>
            </w:pPr>
            <w:r>
              <w:rPr>
                <w:sz w:val="24"/>
              </w:rPr>
              <w:t xml:space="preserve">3. Сведения о фактическом достижении показателей, характеризующих объем и (или) качество работы:</w:t>
            </w:r>
          </w:p>
        </w:tc>
      </w:tr>
      <w:tr>
        <w:tc>
          <w:tcPr>
            <w:gridSpan w:val="2"/>
            <w:tcW w:w="13606" w:type="dxa"/>
            <w:tcBorders>
              <w:top w:val="nil"/>
              <w:left w:val="nil"/>
              <w:bottom w:val="nil"/>
              <w:right w:val="nil"/>
            </w:tcBorders>
          </w:tcPr>
          <w:p>
            <w:pPr>
              <w:pStyle w:val="0"/>
            </w:pPr>
            <w:r>
              <w:rPr>
                <w:sz w:val="24"/>
              </w:rPr>
              <w:t xml:space="preserve">3.1. Сведения о фактическом достижении показателей, характеризующих качество работы:</w:t>
            </w:r>
          </w:p>
        </w:tc>
      </w:tr>
    </w:tbl>
    <w:p>
      <w:pPr>
        <w:pStyle w:val="0"/>
        <w:ind w:firstLine="540"/>
        <w:jc w:val="both"/>
      </w:pPr>
      <w:r>
        <w:rPr>
          <w:sz w:val="24"/>
        </w:rPr>
      </w:r>
    </w:p>
    <w:tbl>
      <w:tblPr>
        <w:tblInd w:w="0" w:type="dxa"/>
        <w:tblLayout w:type="fixed"/>
        <w:tblBorders>
          <w:top w:val="single" w:sz="4"/>
          <w:left w:val="single" w:sz="4"/>
          <w:right w:val="single" w:sz="4"/>
          <w:insideV w:val="single" w:sz="4"/>
          <w:insideH w:val="single" w:sz="4"/>
        </w:tblBorders>
        <w:tblCellMar>
          <w:top w:w="102" w:type="dxa"/>
          <w:left w:w="62" w:type="dxa"/>
          <w:bottom w:w="102" w:type="dxa"/>
          <w:right w:w="62" w:type="dxa"/>
        </w:tblCellMar>
      </w:tblPr>
      <w:tblGrid>
        <w:gridCol w:w="893"/>
        <w:gridCol w:w="1020"/>
        <w:gridCol w:w="1020"/>
        <w:gridCol w:w="1020"/>
        <w:gridCol w:w="1020"/>
        <w:gridCol w:w="1020"/>
        <w:gridCol w:w="907"/>
        <w:gridCol w:w="794"/>
        <w:gridCol w:w="794"/>
        <w:gridCol w:w="907"/>
        <w:gridCol w:w="907"/>
        <w:gridCol w:w="794"/>
        <w:gridCol w:w="794"/>
        <w:gridCol w:w="850"/>
        <w:gridCol w:w="850"/>
      </w:tblGrid>
      <w:tr>
        <w:tc>
          <w:tcPr>
            <w:tcW w:w="893" w:type="dxa"/>
            <w:vMerge w:val="restart"/>
          </w:tcPr>
          <w:p>
            <w:pPr>
              <w:pStyle w:val="0"/>
              <w:jc w:val="center"/>
            </w:pPr>
            <w:r>
              <w:rPr>
                <w:sz w:val="24"/>
              </w:rPr>
              <w:t xml:space="preserve">Уникальный номер реестровой записи </w:t>
            </w:r>
            <w:hyperlink w:history="0" w:anchor="P1133" w:tooltip="&lt;8&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&lt;8&gt;</w:t>
              </w:r>
            </w:hyperlink>
          </w:p>
        </w:tc>
        <w:tc>
          <w:tcPr>
            <w:gridSpan w:val="3"/>
            <w:tcW w:w="3060" w:type="dxa"/>
            <w:vMerge w:val="restart"/>
          </w:tcPr>
          <w:p>
            <w:pPr>
              <w:pStyle w:val="0"/>
              <w:jc w:val="center"/>
            </w:pPr>
            <w:r>
              <w:rPr>
                <w:sz w:val="24"/>
              </w:rPr>
              <w:t xml:space="preserve">Показатель, характеризующий содержание работы</w:t>
            </w:r>
          </w:p>
        </w:tc>
        <w:tc>
          <w:tcPr>
            <w:gridSpan w:val="2"/>
            <w:tcW w:w="2040" w:type="dxa"/>
            <w:vMerge w:val="restart"/>
          </w:tcPr>
          <w:p>
            <w:pPr>
              <w:pStyle w:val="0"/>
              <w:jc w:val="center"/>
            </w:pPr>
            <w:r>
              <w:rPr>
                <w:sz w:val="24"/>
              </w:rPr>
              <w:t xml:space="preserve">Показатель, характеризующий условия (формы) выполнения работы</w:t>
            </w:r>
          </w:p>
        </w:tc>
        <w:tc>
          <w:tcPr>
            <w:gridSpan w:val="9"/>
            <w:tcW w:w="7597" w:type="dxa"/>
          </w:tcPr>
          <w:p>
            <w:pPr>
              <w:pStyle w:val="0"/>
              <w:jc w:val="center"/>
            </w:pPr>
            <w:r>
              <w:rPr>
                <w:sz w:val="24"/>
              </w:rPr>
              <w:t xml:space="preserve">Показатель качества государственной работы</w:t>
            </w:r>
          </w:p>
        </w:tc>
      </w:tr>
      <w:tr>
        <w:tc>
          <w:tcPr>
            <w:vMerge w:val="continue"/>
          </w:tcPr>
          <w:p/>
        </w:tc>
        <w:tc>
          <w:tcPr>
            <w:gridSpan w:val="3"/>
            <w:vMerge w:val="continue"/>
          </w:tcPr>
          <w:p/>
        </w:tc>
        <w:tc>
          <w:tcPr>
            <w:gridSpan w:val="2"/>
            <w:vMerge w:val="continue"/>
          </w:tcPr>
          <w:p/>
        </w:tc>
        <w:tc>
          <w:tcPr>
            <w:tcW w:w="907" w:type="dxa"/>
            <w:vMerge w:val="restart"/>
          </w:tcPr>
          <w:p>
            <w:pPr>
              <w:pStyle w:val="0"/>
              <w:jc w:val="center"/>
            </w:pPr>
            <w:r>
              <w:rPr>
                <w:sz w:val="24"/>
              </w:rPr>
              <w:t xml:space="preserve">наименование показателя </w:t>
            </w:r>
            <w:hyperlink w:history="0" w:anchor="P1129" w:tooltip="&lt;4&gt; Формируется в соответствии с государственным заданием.">
              <w:r>
                <w:rPr>
                  <w:sz w:val="24"/>
                  <w:color w:val="0000ff"/>
                </w:rPr>
                <w:t xml:space="preserve">&lt;4&gt;</w:t>
              </w:r>
            </w:hyperlink>
          </w:p>
        </w:tc>
        <w:tc>
          <w:tcPr>
            <w:gridSpan w:val="2"/>
            <w:tcW w:w="1588" w:type="dxa"/>
            <w:vMerge w:val="restart"/>
          </w:tcPr>
          <w:p>
            <w:pPr>
              <w:pStyle w:val="0"/>
              <w:jc w:val="center"/>
            </w:pPr>
            <w:r>
              <w:rPr>
                <w:sz w:val="24"/>
              </w:rPr>
              <w:t xml:space="preserve">единица измерения</w:t>
            </w:r>
          </w:p>
        </w:tc>
        <w:tc>
          <w:tcPr>
            <w:gridSpan w:val="3"/>
            <w:tcW w:w="2608" w:type="dxa"/>
          </w:tcPr>
          <w:p>
            <w:pPr>
              <w:pStyle w:val="0"/>
              <w:jc w:val="center"/>
            </w:pPr>
            <w:r>
              <w:rPr>
                <w:sz w:val="24"/>
              </w:rPr>
              <w:t xml:space="preserve">значение</w:t>
            </w:r>
          </w:p>
        </w:tc>
        <w:tc>
          <w:tcPr>
            <w:tcW w:w="794" w:type="dxa"/>
            <w:vMerge w:val="restart"/>
          </w:tcPr>
          <w:p>
            <w:pPr>
              <w:pStyle w:val="0"/>
              <w:jc w:val="center"/>
            </w:pPr>
            <w:r>
              <w:rPr>
                <w:sz w:val="24"/>
              </w:rPr>
              <w:t xml:space="preserve">допустимое (возможное) отклонение </w:t>
            </w:r>
            <w:hyperlink w:history="0" w:anchor="P1132" w:tooltip="&lt;7&gt; Рассчитывается путем умножения значения показателя объема и (или) качества государственной услуги (работы), установленного в государственном задании, на установленное в государственном задании значение допустимого (возможного) отклонения от установленных показателей качества (объема) государственной услуги (работы), в пределах которого государственное задание считается выполненным (в процентах), при установлении допустимого (возможного) отклонения от установленных показателей качества (объема) госуда...">
              <w:r>
                <w:rPr>
                  <w:sz w:val="24"/>
                  <w:color w:val="0000ff"/>
                </w:rPr>
                <w:t xml:space="preserve">&lt;7&gt;</w:t>
              </w:r>
            </w:hyperlink>
          </w:p>
        </w:tc>
        <w:tc>
          <w:tcPr>
            <w:tcW w:w="850" w:type="dxa"/>
            <w:vMerge w:val="restart"/>
          </w:tcPr>
          <w:p>
            <w:pPr>
              <w:pStyle w:val="0"/>
              <w:jc w:val="center"/>
            </w:pPr>
            <w:r>
              <w:rPr>
                <w:sz w:val="24"/>
              </w:rPr>
              <w:t xml:space="preserve">отклонение, превышающее допустимое (возможное) значение</w:t>
            </w:r>
          </w:p>
        </w:tc>
        <w:tc>
          <w:tcPr>
            <w:tcW w:w="850" w:type="dxa"/>
            <w:vMerge w:val="restart"/>
          </w:tcPr>
          <w:p>
            <w:pPr>
              <w:pStyle w:val="0"/>
              <w:jc w:val="center"/>
            </w:pPr>
            <w:r>
              <w:rPr>
                <w:sz w:val="24"/>
              </w:rPr>
              <w:t xml:space="preserve">причина отклонения</w:t>
            </w:r>
          </w:p>
        </w:tc>
      </w:tr>
      <w:tr>
        <w:tc>
          <w:tcPr>
            <w:vMerge w:val="continue"/>
          </w:tcPr>
          <w:p/>
        </w:tc>
        <w:tc>
          <w:tcPr>
            <w:gridSpan w:val="3"/>
            <w:vMerge w:val="continue"/>
          </w:tcPr>
          <w:p/>
        </w:tc>
        <w:tc>
          <w:tcPr>
            <w:gridSpan w:val="2"/>
            <w:vMerge w:val="continue"/>
          </w:tcPr>
          <w:p/>
        </w:tc>
        <w:tc>
          <w:tcPr>
            <w:vMerge w:val="continue"/>
          </w:tcPr>
          <w:p/>
        </w:tc>
        <w:tc>
          <w:tcPr>
            <w:gridSpan w:val="2"/>
            <w:vMerge w:val="continue"/>
          </w:tcPr>
          <w:p/>
        </w:tc>
        <w:tc>
          <w:tcPr>
            <w:tcW w:w="907" w:type="dxa"/>
            <w:vMerge w:val="restart"/>
          </w:tcPr>
          <w:p>
            <w:pPr>
              <w:pStyle w:val="0"/>
              <w:jc w:val="center"/>
            </w:pPr>
            <w:r>
              <w:rPr>
                <w:sz w:val="24"/>
              </w:rPr>
              <w:t xml:space="preserve">утверждено в государственном задании на год </w:t>
            </w:r>
            <w:hyperlink w:history="0" w:anchor="P1129" w:tooltip="&lt;4&gt; Формируется в соответствии с государственным заданием.">
              <w:r>
                <w:rPr>
                  <w:sz w:val="24"/>
                  <w:color w:val="0000ff"/>
                </w:rPr>
                <w:t xml:space="preserve">&lt;4&gt;</w:t>
              </w:r>
            </w:hyperlink>
          </w:p>
        </w:tc>
        <w:tc>
          <w:tcPr>
            <w:tcW w:w="907" w:type="dxa"/>
            <w:vMerge w:val="restart"/>
          </w:tcPr>
          <w:p>
            <w:pPr>
              <w:pStyle w:val="0"/>
              <w:jc w:val="center"/>
            </w:pPr>
            <w:r>
              <w:rPr>
                <w:sz w:val="24"/>
              </w:rPr>
              <w:t xml:space="preserve">утверждено в государственном задании на отчетную дату </w:t>
            </w:r>
            <w:hyperlink w:history="0" w:anchor="P1130" w:tooltip="&lt;5&gt; Заполняется в случае установления органом, осуществляющим функции и полномочия учредителя, требования о представлении промежуточного отчета о выполнении государственного задания.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выполнения работы) рассчитывается путем умножения годового объема государственной услуги (работы) на установленный процент достижения результатов выполнения г...">
              <w:r>
                <w:rPr>
                  <w:sz w:val="24"/>
                  <w:color w:val="0000ff"/>
                </w:rPr>
                <w:t xml:space="preserve">&lt;5&gt;</w:t>
              </w:r>
            </w:hyperlink>
          </w:p>
        </w:tc>
        <w:tc>
          <w:tcPr>
            <w:tcW w:w="794" w:type="dxa"/>
            <w:vMerge w:val="restart"/>
          </w:tcPr>
          <w:p>
            <w:pPr>
              <w:pStyle w:val="0"/>
              <w:jc w:val="center"/>
            </w:pPr>
            <w:r>
              <w:rPr>
                <w:sz w:val="24"/>
              </w:rPr>
              <w:t xml:space="preserve">исполнено на отчетную дату </w:t>
            </w:r>
            <w:hyperlink w:history="0" w:anchor="P1131" w:tooltip="&lt;6&gt; В предварительном отчете указываются показатели объема и (или) качества государственной услуги (работы), запланированные к исполнению по завершении текущего финансового года.">
              <w:r>
                <w:rPr>
                  <w:sz w:val="24"/>
                  <w:color w:val="0000ff"/>
                </w:rPr>
                <w:t xml:space="preserve">&lt;6&gt;</w:t>
              </w:r>
            </w:hyperlink>
          </w:p>
        </w:tc>
        <w:tc>
          <w:tcPr>
            <w:vMerge w:val="continue"/>
          </w:tcPr>
          <w:p/>
        </w:tc>
        <w:tc>
          <w:tcPr>
            <w:vMerge w:val="continue"/>
          </w:tcPr>
          <w:p/>
        </w:tc>
        <w:tc>
          <w:tcPr>
            <w:vMerge w:val="continue"/>
          </w:tcPr>
          <w:p/>
        </w:tc>
      </w:tr>
      <w:tr>
        <w:tc>
          <w:tcPr>
            <w:vMerge w:val="continue"/>
          </w:tcPr>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1020"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tcW w:w="794" w:type="dxa"/>
          </w:tcPr>
          <w:p>
            <w:pPr>
              <w:pStyle w:val="0"/>
              <w:jc w:val="center"/>
            </w:pPr>
            <w:r>
              <w:rPr>
                <w:sz w:val="24"/>
              </w:rPr>
              <w:t xml:space="preserve">наименование </w:t>
            </w:r>
            <w:hyperlink w:history="0" w:anchor="P1129" w:tooltip="&lt;4&gt; Формируется в соответствии с государственным заданием.">
              <w:r>
                <w:rPr>
                  <w:sz w:val="24"/>
                  <w:color w:val="0000ff"/>
                </w:rPr>
                <w:t xml:space="preserve">&lt;4&gt;</w:t>
              </w:r>
            </w:hyperlink>
          </w:p>
        </w:tc>
        <w:tc>
          <w:tcPr>
            <w:tcW w:w="794" w:type="dxa"/>
          </w:tcPr>
          <w:p>
            <w:pPr>
              <w:pStyle w:val="0"/>
              <w:jc w:val="center"/>
            </w:pPr>
            <w:r>
              <w:rPr>
                <w:sz w:val="24"/>
              </w:rPr>
              <w:t xml:space="preserve">код по </w:t>
            </w:r>
            <w:hyperlink w:history="0" r:id="rId194"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893"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1020" w:type="dxa"/>
            <w:vMerge w:val="restart"/>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907" w:type="dxa"/>
          </w:tcPr>
          <w:p>
            <w:pPr>
              <w:pStyle w:val="0"/>
            </w:pPr>
            <w:r>
              <w:rPr>
                <w:sz w:val="24"/>
              </w:rPr>
            </w:r>
          </w:p>
        </w:tc>
        <w:tc>
          <w:tcPr>
            <w:tcW w:w="794"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850" w:type="dxa"/>
          </w:tcPr>
          <w:p>
            <w:pPr>
              <w:pStyle w:val="0"/>
            </w:pPr>
            <w:r>
              <w:rPr>
                <w:sz w:val="24"/>
              </w:rPr>
            </w:r>
          </w:p>
        </w:tc>
      </w:tr>
      <w:tr>
        <w:tc>
          <w:tcPr>
            <w:tcW w:w="893" w:type="dxa"/>
            <w:tcBorders>
              <w:bottom w:val="nil"/>
            </w:tcBorders>
          </w:tcPr>
          <w:p>
            <w:pPr>
              <w:pStyle w:val="0"/>
            </w:pPr>
            <w:r>
              <w:rPr>
                <w:sz w:val="24"/>
              </w:rPr>
            </w:r>
          </w:p>
        </w:tc>
        <w:tc>
          <w:tcPr>
            <w:tcW w:w="1020" w:type="dxa"/>
            <w:tcBorders>
              <w:bottom w:val="nil"/>
            </w:tcBorders>
          </w:tcPr>
          <w:p>
            <w:pPr>
              <w:pStyle w:val="0"/>
            </w:pPr>
            <w:r>
              <w:rPr>
                <w:sz w:val="24"/>
              </w:rPr>
            </w:r>
          </w:p>
        </w:tc>
        <w:tc>
          <w:tcPr>
            <w:tcW w:w="1020" w:type="dxa"/>
            <w:tcBorders>
              <w:bottom w:val="nil"/>
            </w:tcBorders>
          </w:tcPr>
          <w:p>
            <w:pPr>
              <w:pStyle w:val="0"/>
            </w:pPr>
            <w:r>
              <w:rPr>
                <w:sz w:val="24"/>
              </w:rPr>
            </w:r>
          </w:p>
        </w:tc>
        <w:tc>
          <w:tcPr>
            <w:tcW w:w="1020" w:type="dxa"/>
            <w:tcBorders>
              <w:bottom w:val="nil"/>
            </w:tcBorders>
          </w:tcPr>
          <w:p>
            <w:pPr>
              <w:pStyle w:val="0"/>
            </w:pPr>
            <w:r>
              <w:rPr>
                <w:sz w:val="24"/>
              </w:rPr>
            </w:r>
          </w:p>
        </w:tc>
        <w:tc>
          <w:tcPr>
            <w:tcW w:w="1020" w:type="dxa"/>
            <w:tcBorders>
              <w:bottom w:val="nil"/>
            </w:tcBorders>
          </w:tcPr>
          <w:p>
            <w:pPr>
              <w:pStyle w:val="0"/>
            </w:pPr>
            <w:r>
              <w:rPr>
                <w:sz w:val="24"/>
              </w:rPr>
            </w:r>
          </w:p>
        </w:tc>
        <w:tc>
          <w:tcPr>
            <w:tcW w:w="1020" w:type="dxa"/>
            <w:tcBorders>
              <w:bottom w:val="nil"/>
            </w:tcBorders>
          </w:tcPr>
          <w:p>
            <w:pPr>
              <w:pStyle w:val="0"/>
            </w:pPr>
            <w:r>
              <w:rPr>
                <w:sz w:val="24"/>
              </w:rPr>
            </w:r>
          </w:p>
        </w:tc>
        <w:tc>
          <w:tcPr>
            <w:tcW w:w="907" w:type="dxa"/>
            <w:tcBorders>
              <w:bottom w:val="nil"/>
            </w:tcBorders>
          </w:tcPr>
          <w:p>
            <w:pPr>
              <w:pStyle w:val="0"/>
            </w:pPr>
            <w:r>
              <w:rPr>
                <w:sz w:val="24"/>
              </w:rPr>
            </w:r>
          </w:p>
        </w:tc>
        <w:tc>
          <w:tcPr>
            <w:tcW w:w="794" w:type="dxa"/>
            <w:tcBorders>
              <w:bottom w:val="nil"/>
            </w:tcBorders>
          </w:tcPr>
          <w:p>
            <w:pPr>
              <w:pStyle w:val="0"/>
            </w:pPr>
            <w:r>
              <w:rPr>
                <w:sz w:val="24"/>
              </w:rPr>
            </w:r>
          </w:p>
        </w:tc>
        <w:tc>
          <w:tcPr>
            <w:tcW w:w="794" w:type="dxa"/>
            <w:tcBorders>
              <w:bottom w:val="nil"/>
            </w:tcBorders>
          </w:tcPr>
          <w:p>
            <w:pPr>
              <w:pStyle w:val="0"/>
            </w:pPr>
            <w:r>
              <w:rPr>
                <w:sz w:val="24"/>
              </w:rPr>
            </w:r>
          </w:p>
        </w:tc>
        <w:tc>
          <w:tcPr>
            <w:tcW w:w="907" w:type="dxa"/>
            <w:tcBorders>
              <w:bottom w:val="nil"/>
            </w:tcBorders>
          </w:tcPr>
          <w:p>
            <w:pPr>
              <w:pStyle w:val="0"/>
            </w:pPr>
            <w:r>
              <w:rPr>
                <w:sz w:val="24"/>
              </w:rPr>
            </w:r>
          </w:p>
        </w:tc>
        <w:tc>
          <w:tcPr>
            <w:tcW w:w="907" w:type="dxa"/>
            <w:tcBorders>
              <w:bottom w:val="nil"/>
            </w:tcBorders>
          </w:tcPr>
          <w:p>
            <w:pPr>
              <w:pStyle w:val="0"/>
            </w:pPr>
            <w:r>
              <w:rPr>
                <w:sz w:val="24"/>
              </w:rPr>
            </w:r>
          </w:p>
        </w:tc>
        <w:tc>
          <w:tcPr>
            <w:tcW w:w="794" w:type="dxa"/>
            <w:tcBorders>
              <w:bottom w:val="nil"/>
            </w:tcBorders>
          </w:tcPr>
          <w:p>
            <w:pPr>
              <w:pStyle w:val="0"/>
            </w:pPr>
            <w:r>
              <w:rPr>
                <w:sz w:val="24"/>
              </w:rPr>
            </w:r>
          </w:p>
        </w:tc>
        <w:tc>
          <w:tcPr>
            <w:tcW w:w="794" w:type="dxa"/>
            <w:tcBorders>
              <w:bottom w:val="nil"/>
            </w:tcBorders>
          </w:tcPr>
          <w:p>
            <w:pPr>
              <w:pStyle w:val="0"/>
            </w:pPr>
            <w:r>
              <w:rPr>
                <w:sz w:val="24"/>
              </w:rPr>
            </w:r>
          </w:p>
        </w:tc>
        <w:tc>
          <w:tcPr>
            <w:tcW w:w="850" w:type="dxa"/>
            <w:tcBorders>
              <w:bottom w:val="nil"/>
            </w:tcBorders>
          </w:tcPr>
          <w:p>
            <w:pPr>
              <w:pStyle w:val="0"/>
            </w:pPr>
            <w:r>
              <w:rPr>
                <w:sz w:val="24"/>
              </w:rPr>
            </w:r>
          </w:p>
        </w:tc>
        <w:tc>
          <w:tcPr>
            <w:tcW w:w="850" w:type="dxa"/>
            <w:tcBorders>
              <w:bottom w:val="nil"/>
            </w:tcBorders>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bookmarkStart w:id="1036" w:name="P1036"/>
          <w:bookmarkEnd w:id="1036"/>
          <w:p>
            <w:pPr>
              <w:pStyle w:val="0"/>
            </w:pPr>
            <w:r>
              <w:rPr>
                <w:sz w:val="24"/>
              </w:rPr>
              <w:t xml:space="preserve">3.2. Сведения о фактическом достижении показателей, характеризующих объем работы:</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94"/>
        <w:gridCol w:w="964"/>
        <w:gridCol w:w="964"/>
        <w:gridCol w:w="964"/>
        <w:gridCol w:w="964"/>
        <w:gridCol w:w="964"/>
        <w:gridCol w:w="737"/>
        <w:gridCol w:w="680"/>
        <w:gridCol w:w="794"/>
        <w:gridCol w:w="850"/>
        <w:gridCol w:w="907"/>
        <w:gridCol w:w="850"/>
        <w:gridCol w:w="794"/>
        <w:gridCol w:w="907"/>
        <w:gridCol w:w="624"/>
        <w:gridCol w:w="850"/>
      </w:tblGrid>
      <w:tr>
        <w:tc>
          <w:tcPr>
            <w:tcW w:w="794" w:type="dxa"/>
            <w:vMerge w:val="restart"/>
          </w:tcPr>
          <w:p>
            <w:pPr>
              <w:pStyle w:val="0"/>
              <w:jc w:val="center"/>
            </w:pPr>
            <w:r>
              <w:rPr>
                <w:sz w:val="24"/>
              </w:rPr>
              <w:t xml:space="preserve">Уникальный номер реестровой записи </w:t>
            </w:r>
            <w:hyperlink w:history="0" w:anchor="P1133" w:tooltip="&lt;8&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quot;Электронный бюджет&quot; и размещенный на едином портале бюджетной системы Российской Федерации в информационно-телекоммуникационной сети Интернет (www.budget.gov.ru) и на официальном сайте в информационно-телекоммуникационной сети Интернет для размещения информации о государственных и муниципальных учреждениях (www.bus.gov.ru).">
              <w:r>
                <w:rPr>
                  <w:sz w:val="24"/>
                  <w:color w:val="0000ff"/>
                </w:rPr>
                <w:t xml:space="preserve">&lt;8&gt;</w:t>
              </w:r>
            </w:hyperlink>
          </w:p>
        </w:tc>
        <w:tc>
          <w:tcPr>
            <w:gridSpan w:val="3"/>
            <w:tcW w:w="2892" w:type="dxa"/>
            <w:vMerge w:val="restart"/>
          </w:tcPr>
          <w:p>
            <w:pPr>
              <w:pStyle w:val="0"/>
              <w:jc w:val="center"/>
            </w:pPr>
            <w:r>
              <w:rPr>
                <w:sz w:val="24"/>
              </w:rPr>
              <w:t xml:space="preserve">Показатель, характеризующий содержание работы</w:t>
            </w:r>
          </w:p>
        </w:tc>
        <w:tc>
          <w:tcPr>
            <w:gridSpan w:val="2"/>
            <w:tcW w:w="1928" w:type="dxa"/>
            <w:vMerge w:val="restart"/>
          </w:tcPr>
          <w:p>
            <w:pPr>
              <w:pStyle w:val="0"/>
              <w:jc w:val="center"/>
            </w:pPr>
            <w:r>
              <w:rPr>
                <w:sz w:val="24"/>
              </w:rPr>
              <w:t xml:space="preserve">Показатель, характеризующий условия (формы) выполнения работы</w:t>
            </w:r>
          </w:p>
        </w:tc>
        <w:tc>
          <w:tcPr>
            <w:gridSpan w:val="9"/>
            <w:tcW w:w="7143" w:type="dxa"/>
          </w:tcPr>
          <w:p>
            <w:pPr>
              <w:pStyle w:val="0"/>
              <w:jc w:val="center"/>
            </w:pPr>
            <w:r>
              <w:rPr>
                <w:sz w:val="24"/>
              </w:rPr>
              <w:t xml:space="preserve">Показатель объема государственной работы</w:t>
            </w:r>
          </w:p>
        </w:tc>
        <w:tc>
          <w:tcPr>
            <w:tcW w:w="850" w:type="dxa"/>
            <w:vMerge w:val="restart"/>
          </w:tcPr>
          <w:p>
            <w:pPr>
              <w:pStyle w:val="0"/>
              <w:jc w:val="center"/>
            </w:pPr>
            <w:r>
              <w:rPr>
                <w:sz w:val="24"/>
              </w:rPr>
              <w:t xml:space="preserve">Размер платы (цена, тариф)</w:t>
            </w:r>
          </w:p>
        </w:tc>
      </w:tr>
      <w:tr>
        <w:tc>
          <w:tcPr>
            <w:vMerge w:val="continue"/>
          </w:tcPr>
          <w:p/>
        </w:tc>
        <w:tc>
          <w:tcPr>
            <w:gridSpan w:val="3"/>
            <w:vMerge w:val="continue"/>
          </w:tcPr>
          <w:p/>
        </w:tc>
        <w:tc>
          <w:tcPr>
            <w:gridSpan w:val="2"/>
            <w:vMerge w:val="continue"/>
          </w:tcPr>
          <w:p/>
        </w:tc>
        <w:tc>
          <w:tcPr>
            <w:tcW w:w="737" w:type="dxa"/>
            <w:vMerge w:val="restart"/>
          </w:tcPr>
          <w:p>
            <w:pPr>
              <w:pStyle w:val="0"/>
              <w:jc w:val="center"/>
            </w:pPr>
            <w:r>
              <w:rPr>
                <w:sz w:val="24"/>
              </w:rPr>
              <w:t xml:space="preserve">наименование показателя </w:t>
            </w:r>
            <w:hyperlink w:history="0" w:anchor="P1129" w:tooltip="&lt;4&gt; Формируется в соответствии с государственным заданием.">
              <w:r>
                <w:rPr>
                  <w:sz w:val="24"/>
                  <w:color w:val="0000ff"/>
                </w:rPr>
                <w:t xml:space="preserve">&lt;4&gt;</w:t>
              </w:r>
            </w:hyperlink>
          </w:p>
        </w:tc>
        <w:tc>
          <w:tcPr>
            <w:gridSpan w:val="2"/>
            <w:tcW w:w="1474" w:type="dxa"/>
            <w:vMerge w:val="restart"/>
          </w:tcPr>
          <w:p>
            <w:pPr>
              <w:pStyle w:val="0"/>
              <w:jc w:val="center"/>
            </w:pPr>
            <w:r>
              <w:rPr>
                <w:sz w:val="24"/>
              </w:rPr>
              <w:t xml:space="preserve">единица измерения</w:t>
            </w:r>
          </w:p>
        </w:tc>
        <w:tc>
          <w:tcPr>
            <w:gridSpan w:val="3"/>
            <w:tcW w:w="2607" w:type="dxa"/>
          </w:tcPr>
          <w:p>
            <w:pPr>
              <w:pStyle w:val="0"/>
              <w:jc w:val="center"/>
            </w:pPr>
            <w:r>
              <w:rPr>
                <w:sz w:val="24"/>
              </w:rPr>
              <w:t xml:space="preserve">значения</w:t>
            </w:r>
          </w:p>
        </w:tc>
        <w:tc>
          <w:tcPr>
            <w:tcW w:w="794" w:type="dxa"/>
            <w:vMerge w:val="restart"/>
          </w:tcPr>
          <w:p>
            <w:pPr>
              <w:pStyle w:val="0"/>
              <w:jc w:val="center"/>
            </w:pPr>
            <w:r>
              <w:rPr>
                <w:sz w:val="24"/>
              </w:rPr>
              <w:t xml:space="preserve">допустимое (возможное) отклонение </w:t>
            </w:r>
            <w:hyperlink w:history="0" w:anchor="P1132" w:tooltip="&lt;7&gt; Рассчитывается путем умножения значения показателя объема и (или) качества государственной услуги (работы), установленного в государственном задании, на установленное в государственном задании значение допустимого (возможного) отклонения от установленных показателей качества (объема) государственной услуги (работы), в пределах которого государственное задание считается выполненным (в процентах), при установлении допустимого (возможного) отклонения от установленных показателей качества (объема) госуда...">
              <w:r>
                <w:rPr>
                  <w:sz w:val="24"/>
                  <w:color w:val="0000ff"/>
                </w:rPr>
                <w:t xml:space="preserve">&lt;7&gt;</w:t>
              </w:r>
            </w:hyperlink>
          </w:p>
        </w:tc>
        <w:tc>
          <w:tcPr>
            <w:tcW w:w="907" w:type="dxa"/>
            <w:vMerge w:val="restart"/>
          </w:tcPr>
          <w:p>
            <w:pPr>
              <w:pStyle w:val="0"/>
              <w:jc w:val="center"/>
            </w:pPr>
            <w:r>
              <w:rPr>
                <w:sz w:val="24"/>
              </w:rPr>
              <w:t xml:space="preserve">отклонение, превышающее допустимое (возможное) значение</w:t>
            </w:r>
          </w:p>
        </w:tc>
        <w:tc>
          <w:tcPr>
            <w:tcW w:w="624" w:type="dxa"/>
            <w:vMerge w:val="restart"/>
          </w:tcPr>
          <w:p>
            <w:pPr>
              <w:pStyle w:val="0"/>
              <w:jc w:val="center"/>
            </w:pPr>
            <w:r>
              <w:rPr>
                <w:sz w:val="24"/>
              </w:rPr>
              <w:t xml:space="preserve">причина отклонения</w:t>
            </w:r>
          </w:p>
        </w:tc>
        <w:tc>
          <w:tcPr>
            <w:vMerge w:val="continue"/>
          </w:tcPr>
          <w:p/>
        </w:tc>
      </w:tr>
      <w:tr>
        <w:tc>
          <w:tcPr>
            <w:vMerge w:val="continue"/>
          </w:tcPr>
          <w:p/>
        </w:tc>
        <w:tc>
          <w:tcPr>
            <w:gridSpan w:val="3"/>
            <w:vMerge w:val="continue"/>
          </w:tcPr>
          <w:p/>
        </w:tc>
        <w:tc>
          <w:tcPr>
            <w:gridSpan w:val="2"/>
            <w:vMerge w:val="continue"/>
          </w:tcPr>
          <w:p/>
        </w:tc>
        <w:tc>
          <w:tcPr>
            <w:vMerge w:val="continue"/>
          </w:tcPr>
          <w:p/>
        </w:tc>
        <w:tc>
          <w:tcPr>
            <w:gridSpan w:val="2"/>
            <w:vMerge w:val="continue"/>
          </w:tcPr>
          <w:p/>
        </w:tc>
        <w:tc>
          <w:tcPr>
            <w:tcW w:w="850" w:type="dxa"/>
            <w:vMerge w:val="restart"/>
          </w:tcPr>
          <w:p>
            <w:pPr>
              <w:pStyle w:val="0"/>
              <w:jc w:val="center"/>
            </w:pPr>
            <w:r>
              <w:rPr>
                <w:sz w:val="24"/>
              </w:rPr>
              <w:t xml:space="preserve">утверждено в государственном задании на год </w:t>
            </w:r>
            <w:hyperlink w:history="0" w:anchor="P1129" w:tooltip="&lt;4&gt; Формируется в соответствии с государственным заданием.">
              <w:r>
                <w:rPr>
                  <w:sz w:val="24"/>
                  <w:color w:val="0000ff"/>
                </w:rPr>
                <w:t xml:space="preserve">&lt;4&gt;</w:t>
              </w:r>
            </w:hyperlink>
          </w:p>
        </w:tc>
        <w:tc>
          <w:tcPr>
            <w:tcW w:w="907" w:type="dxa"/>
            <w:vMerge w:val="restart"/>
          </w:tcPr>
          <w:p>
            <w:pPr>
              <w:pStyle w:val="0"/>
              <w:jc w:val="center"/>
            </w:pPr>
            <w:r>
              <w:rPr>
                <w:sz w:val="24"/>
              </w:rPr>
              <w:t xml:space="preserve">утверждено в государственном задании на отчетную дату </w:t>
            </w:r>
            <w:hyperlink w:history="0" w:anchor="P1130" w:tooltip="&lt;5&gt; Заполняется в случае установления органом, осуществляющим функции и полномочия учредителя, требования о представлении промежуточного отчета о выполнении государственного задания.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выполнения работы) рассчитывается путем умножения годового объема государственной услуги (работы) на установленный процент достижения результатов выполнения г...">
              <w:r>
                <w:rPr>
                  <w:sz w:val="24"/>
                  <w:color w:val="0000ff"/>
                </w:rPr>
                <w:t xml:space="preserve">&lt;5&gt;</w:t>
              </w:r>
            </w:hyperlink>
          </w:p>
        </w:tc>
        <w:tc>
          <w:tcPr>
            <w:tcW w:w="850" w:type="dxa"/>
            <w:vMerge w:val="restart"/>
          </w:tcPr>
          <w:p>
            <w:pPr>
              <w:pStyle w:val="0"/>
              <w:jc w:val="center"/>
            </w:pPr>
            <w:r>
              <w:rPr>
                <w:sz w:val="24"/>
              </w:rPr>
              <w:t xml:space="preserve">исполнено на отчетную дату </w:t>
            </w:r>
            <w:hyperlink w:history="0" w:anchor="P1131" w:tooltip="&lt;6&gt; В предварительном отчете указываются показатели объема и (или) качества государственной услуги (работы), запланированные к исполнению по завершении текущего финансового года.">
              <w:r>
                <w:rPr>
                  <w:sz w:val="24"/>
                  <w:color w:val="0000ff"/>
                </w:rPr>
                <w:t xml:space="preserve">&lt;6&gt;</w:t>
              </w:r>
            </w:hyperlink>
          </w:p>
        </w:tc>
        <w:tc>
          <w:tcPr>
            <w:vMerge w:val="continue"/>
          </w:tcPr>
          <w:p/>
        </w:tc>
        <w:tc>
          <w:tcPr>
            <w:vMerge w:val="continue"/>
          </w:tcPr>
          <w:p/>
        </w:tc>
        <w:tc>
          <w:tcPr>
            <w:vMerge w:val="continue"/>
          </w:tcPr>
          <w:p/>
        </w:tc>
        <w:tc>
          <w:tcPr>
            <w:vMerge w:val="continue"/>
          </w:tcPr>
          <w:p/>
        </w:tc>
      </w:tr>
      <w:tr>
        <w:tc>
          <w:tcPr>
            <w:vMerge w:val="continue"/>
          </w:tcPr>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tcW w:w="964" w:type="dxa"/>
          </w:tcPr>
          <w:p>
            <w:pPr>
              <w:pStyle w:val="0"/>
              <w:jc w:val="center"/>
            </w:pPr>
            <w:r>
              <w:rPr>
                <w:sz w:val="24"/>
              </w:rPr>
              <w:t xml:space="preserve">_______</w:t>
            </w:r>
          </w:p>
          <w:p>
            <w:pPr>
              <w:pStyle w:val="0"/>
              <w:jc w:val="center"/>
            </w:pPr>
            <w:r>
              <w:rPr>
                <w:sz w:val="24"/>
              </w:rPr>
              <w:t xml:space="preserve">(наименование</w:t>
            </w:r>
          </w:p>
          <w:p>
            <w:pPr>
              <w:pStyle w:val="0"/>
              <w:jc w:val="center"/>
            </w:pPr>
            <w:r>
              <w:rPr>
                <w:sz w:val="24"/>
              </w:rPr>
              <w:t xml:space="preserve">показателя)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tcW w:w="680" w:type="dxa"/>
          </w:tcPr>
          <w:p>
            <w:pPr>
              <w:pStyle w:val="0"/>
              <w:jc w:val="center"/>
            </w:pPr>
            <w:r>
              <w:rPr>
                <w:sz w:val="24"/>
              </w:rPr>
              <w:t xml:space="preserve">наименование </w:t>
            </w:r>
            <w:hyperlink w:history="0" w:anchor="P1129" w:tooltip="&lt;4&gt; Формируется в соответствии с государственным заданием.">
              <w:r>
                <w:rPr>
                  <w:sz w:val="24"/>
                  <w:color w:val="0000ff"/>
                </w:rPr>
                <w:t xml:space="preserve">&lt;4&gt;</w:t>
              </w:r>
            </w:hyperlink>
          </w:p>
        </w:tc>
        <w:tc>
          <w:tcPr>
            <w:tcW w:w="794" w:type="dxa"/>
          </w:tcPr>
          <w:p>
            <w:pPr>
              <w:pStyle w:val="0"/>
              <w:jc w:val="center"/>
            </w:pPr>
            <w:r>
              <w:rPr>
                <w:sz w:val="24"/>
              </w:rPr>
              <w:t xml:space="preserve">код по </w:t>
            </w:r>
            <w:hyperlink w:history="0" r:id="rId195" w:tooltip="&quot;ОК 015-94 (МК 002-97). Общероссийский классификатор единиц измерения&quot; (утв. Постановлением Госстандарта России от 26.12.1994 N 366) (ред. от 14.11.2024) {КонсультантПлюс}">
              <w:r>
                <w:rPr>
                  <w:sz w:val="24"/>
                  <w:color w:val="0000ff"/>
                </w:rPr>
                <w:t xml:space="preserve">ОКЕИ</w:t>
              </w:r>
            </w:hyperlink>
            <w:r>
              <w:rPr>
                <w:sz w:val="24"/>
              </w:rPr>
              <w:t xml:space="preserve"> </w:t>
            </w:r>
            <w:hyperlink w:history="0" w:anchor="P1129" w:tooltip="&lt;4&gt; Формируется в соответствии с государственным заданием.">
              <w:r>
                <w:rPr>
                  <w:sz w:val="24"/>
                  <w:color w:val="0000ff"/>
                </w:rPr>
                <w:t xml:space="preserve">&lt;4&gt;</w:t>
              </w:r>
            </w:hyperlink>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r>
      <w:tr>
        <w:tc>
          <w:tcPr>
            <w:tcW w:w="79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964" w:type="dxa"/>
            <w:vMerge w:val="restart"/>
          </w:tcPr>
          <w:p>
            <w:pPr>
              <w:pStyle w:val="0"/>
            </w:pPr>
            <w:r>
              <w:rPr>
                <w:sz w:val="24"/>
              </w:rPr>
            </w: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r>
        <w:tc>
          <w:tcPr>
            <w:tcW w:w="79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964"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794" w:type="dxa"/>
          </w:tcPr>
          <w:p>
            <w:pPr>
              <w:pStyle w:val="0"/>
            </w:pPr>
            <w:r>
              <w:rPr>
                <w:sz w:val="24"/>
              </w:rPr>
            </w:r>
          </w:p>
        </w:tc>
        <w:tc>
          <w:tcPr>
            <w:tcW w:w="850" w:type="dxa"/>
          </w:tcPr>
          <w:p>
            <w:pPr>
              <w:pStyle w:val="0"/>
            </w:pPr>
            <w:r>
              <w:rPr>
                <w:sz w:val="24"/>
              </w:rPr>
            </w:r>
          </w:p>
        </w:tc>
        <w:tc>
          <w:tcPr>
            <w:tcW w:w="907" w:type="dxa"/>
          </w:tcPr>
          <w:p>
            <w:pPr>
              <w:pStyle w:val="0"/>
            </w:pPr>
            <w:r>
              <w:rPr>
                <w:sz w:val="24"/>
              </w:rPr>
            </w:r>
          </w:p>
        </w:tc>
        <w:tc>
          <w:tcPr>
            <w:tcW w:w="850" w:type="dxa"/>
          </w:tcPr>
          <w:p>
            <w:pPr>
              <w:pStyle w:val="0"/>
            </w:pPr>
            <w:r>
              <w:rPr>
                <w:sz w:val="24"/>
              </w:rPr>
            </w:r>
          </w:p>
        </w:tc>
        <w:tc>
          <w:tcPr>
            <w:tcW w:w="794" w:type="dxa"/>
          </w:tcPr>
          <w:p>
            <w:pPr>
              <w:pStyle w:val="0"/>
            </w:pPr>
            <w:r>
              <w:rPr>
                <w:sz w:val="24"/>
              </w:rPr>
            </w:r>
          </w:p>
        </w:tc>
        <w:tc>
          <w:tcPr>
            <w:tcW w:w="907" w:type="dxa"/>
          </w:tcPr>
          <w:p>
            <w:pPr>
              <w:pStyle w:val="0"/>
            </w:pPr>
            <w:r>
              <w:rPr>
                <w:sz w:val="24"/>
              </w:rPr>
            </w:r>
          </w:p>
        </w:tc>
        <w:tc>
          <w:tcPr>
            <w:tcW w:w="624" w:type="dxa"/>
          </w:tcPr>
          <w:p>
            <w:pPr>
              <w:pStyle w:val="0"/>
            </w:pPr>
            <w:r>
              <w:rPr>
                <w:sz w:val="24"/>
              </w:rPr>
            </w:r>
          </w:p>
        </w:tc>
        <w:tc>
          <w:tcPr>
            <w:tcW w:w="850" w:type="dxa"/>
          </w:tcPr>
          <w:p>
            <w:pPr>
              <w:pStyle w:val="0"/>
            </w:pPr>
            <w:r>
              <w:rPr>
                <w:sz w:val="24"/>
              </w:rPr>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5216"/>
        <w:gridCol w:w="2608"/>
        <w:gridCol w:w="340"/>
        <w:gridCol w:w="1928"/>
        <w:gridCol w:w="340"/>
        <w:gridCol w:w="3175"/>
      </w:tblGrid>
      <w:tr>
        <w:tc>
          <w:tcPr>
            <w:tcW w:w="5216" w:type="dxa"/>
            <w:tcBorders>
              <w:top w:val="nil"/>
              <w:left w:val="nil"/>
              <w:bottom w:val="nil"/>
              <w:right w:val="nil"/>
            </w:tcBorders>
          </w:tcPr>
          <w:p>
            <w:pPr>
              <w:pStyle w:val="0"/>
            </w:pPr>
            <w:r>
              <w:rPr>
                <w:sz w:val="24"/>
              </w:rPr>
              <w:t xml:space="preserve">Руководитель (уполномоченное лицо)</w:t>
            </w:r>
          </w:p>
        </w:tc>
        <w:tc>
          <w:tcPr>
            <w:tcW w:w="260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192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3175" w:type="dxa"/>
            <w:tcBorders>
              <w:top w:val="nil"/>
              <w:left w:val="nil"/>
              <w:bottom w:val="single" w:sz="4"/>
              <w:right w:val="nil"/>
            </w:tcBorders>
          </w:tcPr>
          <w:p>
            <w:pPr>
              <w:pStyle w:val="0"/>
            </w:pPr>
            <w:r>
              <w:rPr>
                <w:sz w:val="24"/>
              </w:rPr>
            </w:r>
          </w:p>
        </w:tc>
      </w:tr>
      <w:tr>
        <w:tc>
          <w:tcPr>
            <w:tcW w:w="5216" w:type="dxa"/>
            <w:tcBorders>
              <w:top w:val="nil"/>
              <w:left w:val="nil"/>
              <w:bottom w:val="nil"/>
              <w:right w:val="nil"/>
            </w:tcBorders>
          </w:tcPr>
          <w:p>
            <w:pPr>
              <w:pStyle w:val="0"/>
            </w:pPr>
            <w:r>
              <w:rPr>
                <w:sz w:val="24"/>
              </w:rPr>
            </w:r>
          </w:p>
        </w:tc>
        <w:tc>
          <w:tcPr>
            <w:tcW w:w="2608"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192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3175" w:type="dxa"/>
            <w:tcBorders>
              <w:top w:val="single" w:sz="4"/>
              <w:left w:val="nil"/>
              <w:bottom w:val="nil"/>
              <w:right w:val="nil"/>
            </w:tcBorders>
          </w:tcPr>
          <w:p>
            <w:pPr>
              <w:pStyle w:val="0"/>
              <w:jc w:val="center"/>
            </w:pPr>
            <w:r>
              <w:rPr>
                <w:sz w:val="24"/>
              </w:rPr>
              <w:t xml:space="preserve">(расшифровка подписи)</w:t>
            </w:r>
          </w:p>
        </w:tc>
      </w:tr>
    </w:tbl>
    <w:p>
      <w:pPr>
        <w:sectPr>
          <w:headerReference w:type="default" r:id="rId179"/>
          <w:headerReference w:type="first" r:id="rId179"/>
          <w:footerReference w:type="default" r:id="rId180"/>
          <w:footerReference w:type="first" r:id="rId180"/>
          <w:pgSz w:w="16838" w:h="11906" w:orient="landscape"/>
          <w:pgMar w:top="1133" w:right="1440" w:bottom="566" w:left="1440" w:header="0" w:footer="0" w:gutter="0"/>
          <w:titlePg/>
        </w:sectPr>
      </w:pPr>
    </w:p>
    <w:p>
      <w:pPr>
        <w:pStyle w:val="0"/>
        <w:ind w:firstLine="540"/>
        <w:jc w:val="both"/>
      </w:pPr>
      <w:r>
        <w:rPr>
          <w:sz w:val="24"/>
        </w:rPr>
      </w:r>
    </w:p>
    <w:p>
      <w:pPr>
        <w:pStyle w:val="0"/>
        <w:ind w:firstLine="540"/>
        <w:jc w:val="both"/>
      </w:pPr>
      <w:r>
        <w:rPr>
          <w:sz w:val="24"/>
        </w:rPr>
        <w:t xml:space="preserve">--------------------------------</w:t>
      </w:r>
    </w:p>
    <w:bookmarkStart w:id="1126" w:name="P1126"/>
    <w:bookmarkEnd w:id="1126"/>
    <w:p>
      <w:pPr>
        <w:pStyle w:val="0"/>
        <w:spacing w:before="240" w:lineRule="auto"/>
        <w:ind w:firstLine="540"/>
        <w:jc w:val="both"/>
      </w:pPr>
      <w:r>
        <w:rPr>
          <w:sz w:val="24"/>
        </w:rPr>
        <w:t xml:space="preserve">&lt;1&gt; Указывается номер государственного задания, по которому формируется отчет.</w:t>
      </w:r>
    </w:p>
    <w:bookmarkStart w:id="1127" w:name="P1127"/>
    <w:bookmarkEnd w:id="1127"/>
    <w:p>
      <w:pPr>
        <w:pStyle w:val="0"/>
        <w:spacing w:before="240" w:lineRule="auto"/>
        <w:ind w:firstLine="540"/>
        <w:jc w:val="both"/>
      </w:pPr>
      <w:r>
        <w:rPr>
          <w:sz w:val="24"/>
        </w:rPr>
        <w:t xml:space="preserve">&lt;2&gt; Указывается дата, на которую составляется отчет.</w:t>
      </w:r>
    </w:p>
    <w:bookmarkStart w:id="1128" w:name="P1128"/>
    <w:bookmarkEnd w:id="1128"/>
    <w:p>
      <w:pPr>
        <w:pStyle w:val="0"/>
        <w:spacing w:before="240" w:lineRule="auto"/>
        <w:ind w:firstLine="540"/>
        <w:jc w:val="both"/>
      </w:pPr>
      <w:r>
        <w:rPr>
          <w:sz w:val="24"/>
        </w:rPr>
        <w:t xml:space="preserve">&lt;3&gt; Формируется при установлении государственного задания на оказание государственной услуги (услуг) и выполнение работы (работ) и содержит требования к оказанию государственной услуги (услуг) и выполнению работы (работ) раздельно по каждой из государственных услуг (работ) с указанием порядкового номера раздела.</w:t>
      </w:r>
    </w:p>
    <w:bookmarkStart w:id="1129" w:name="P1129"/>
    <w:bookmarkEnd w:id="1129"/>
    <w:p>
      <w:pPr>
        <w:pStyle w:val="0"/>
        <w:spacing w:before="240" w:lineRule="auto"/>
        <w:ind w:firstLine="540"/>
        <w:jc w:val="both"/>
      </w:pPr>
      <w:r>
        <w:rPr>
          <w:sz w:val="24"/>
        </w:rPr>
        <w:t xml:space="preserve">&lt;4&gt; Формируется в соответствии с государственным заданием.</w:t>
      </w:r>
    </w:p>
    <w:bookmarkStart w:id="1130" w:name="P1130"/>
    <w:bookmarkEnd w:id="1130"/>
    <w:p>
      <w:pPr>
        <w:pStyle w:val="0"/>
        <w:spacing w:before="240" w:lineRule="auto"/>
        <w:ind w:firstLine="540"/>
        <w:jc w:val="both"/>
      </w:pPr>
      <w:r>
        <w:rPr>
          <w:sz w:val="24"/>
        </w:rPr>
        <w:t xml:space="preserve">&lt;5&gt; Заполняется в случае установления органом, осуществляющим функции и полномочия учредителя, требования о представлении промежуточного отчета о выполнении государственного задания. При установлении показателя достижения результатов выполнения государственного задания на отчетную дату в процентах от годового объема оказания государственной услуги (выполнения работы) рассчитывается путем умножения годового объема государственной услуги (работы) на установленный процент достижения результатов выполнения государственного задания на отчетную дату, в том числе с учетом неравномерного оказания государственных услуг (выполнения работ) в течение календарного года. При установлении показателя достижения результатов выполнения государственного задания на отчетную дату в абсолютных величинах заполняется в соответствии с государственным заданием (в том числе с учетом неравномерного оказания государственных услуг (выполнения работ) в течение календарного года).</w:t>
      </w:r>
    </w:p>
    <w:bookmarkStart w:id="1131" w:name="P1131"/>
    <w:bookmarkEnd w:id="1131"/>
    <w:p>
      <w:pPr>
        <w:pStyle w:val="0"/>
        <w:spacing w:before="240" w:lineRule="auto"/>
        <w:ind w:firstLine="540"/>
        <w:jc w:val="both"/>
      </w:pPr>
      <w:r>
        <w:rPr>
          <w:sz w:val="24"/>
        </w:rPr>
        <w:t xml:space="preserve">&lt;6&gt; В предварительном отчете указываются показатели объема и (или) качества государственной услуги (работы), запланированные к исполнению по завершении текущего финансового года.</w:t>
      </w:r>
    </w:p>
    <w:bookmarkStart w:id="1132" w:name="P1132"/>
    <w:bookmarkEnd w:id="1132"/>
    <w:p>
      <w:pPr>
        <w:pStyle w:val="0"/>
        <w:spacing w:before="240" w:lineRule="auto"/>
        <w:ind w:firstLine="540"/>
        <w:jc w:val="both"/>
      </w:pPr>
      <w:r>
        <w:rPr>
          <w:sz w:val="24"/>
        </w:rPr>
        <w:t xml:space="preserve">&lt;7&gt; Рассчитывается путем умножения значения показателя объема и (или) качества государственной услуги (работы), установленного в государственном задании, на установленное в государственном задании значение допустимого (возможного) отклонения от установленных показателей качества (объема) государственной услуги (работы), в пределах которого государственное задание считается выполненным (в процентах), при установлении допустимого (возможного) отклонения от установленных показателей качества (объема) государственной услуги (работы) в абсолютных величинах заполняется в соответствии с государственным заданием. Значение указывается в единицах измерения показателя, установленных в государственном задании, в целых единицах. Значение менее 0,5 единицы отбрасывается, а 0,5 единицы и более округляется до целой единицы. В случае если единицей объема работы является работа в целом, показатели </w:t>
      </w:r>
      <w:hyperlink w:history="0" w:anchor="P1036" w:tooltip="3.2. Сведения о фактическом достижении показателей, характеризующих объем работы:">
        <w:r>
          <w:rPr>
            <w:sz w:val="24"/>
            <w:color w:val="0000ff"/>
          </w:rPr>
          <w:t xml:space="preserve">пункта 3.2 части 2</w:t>
        </w:r>
      </w:hyperlink>
      <w:r>
        <w:rPr>
          <w:sz w:val="24"/>
        </w:rPr>
        <w:t xml:space="preserve"> настоящего отчета не рассчитываются.</w:t>
      </w:r>
    </w:p>
    <w:bookmarkStart w:id="1133" w:name="P1133"/>
    <w:bookmarkEnd w:id="1133"/>
    <w:p>
      <w:pPr>
        <w:pStyle w:val="0"/>
        <w:spacing w:before="240" w:lineRule="auto"/>
        <w:ind w:firstLine="540"/>
        <w:jc w:val="both"/>
      </w:pPr>
      <w:r>
        <w:rPr>
          <w:sz w:val="24"/>
        </w:rPr>
        <w:t xml:space="preserve">&lt;8&gt; Указывается уникальный номер реестровой записи, присвоенный в государственной интегрированной информационной системе управления общественными финансами "Электронный бюджет" и размещенный на едином портале бюджетной системы Российской Федерации в информационно-телекоммуникационной сети Интернет (</w:t>
      </w:r>
      <w:hyperlink w:history="0" r:id="rId196">
        <w:r>
          <w:rPr>
            <w:sz w:val="24"/>
            <w:color w:val="0000ff"/>
          </w:rPr>
          <w:t xml:space="preserve">www.budget.gov.ru</w:t>
        </w:r>
      </w:hyperlink>
      <w:r>
        <w:rPr>
          <w:sz w:val="24"/>
        </w:rPr>
        <w:t xml:space="preserve">) и на официальном сайте в информационно-телекоммуникационной сети Интернет для размещения информации о государственных и муниципальных учреждениях (</w:t>
      </w:r>
      <w:hyperlink w:history="0" r:id="rId197">
        <w:r>
          <w:rPr>
            <w:sz w:val="24"/>
            <w:color w:val="0000ff"/>
          </w:rPr>
          <w:t xml:space="preserve">www.bus.gov.ru</w:t>
        </w:r>
      </w:hyperlink>
      <w:r>
        <w:rPr>
          <w:sz w:val="24"/>
        </w:rPr>
        <w:t xml:space="preserve">).</w:t>
      </w:r>
    </w:p>
    <w:p>
      <w:pPr>
        <w:pStyle w:val="0"/>
        <w:jc w:val="both"/>
      </w:pPr>
      <w:r>
        <w:rPr>
          <w:sz w:val="24"/>
        </w:rPr>
        <w:t xml:space="preserve">(сноска 8 введена постановлением Правительства Амурской области от 28.12.2023 </w:t>
      </w:r>
      <w:hyperlink w:history="0" r:id="rId198" w:tooltip="Постановление Правительства Амурской области от 28.12.2023 N 1145 &quot;О внесении изменений в постановление Правительства Амурской области от 10 августа 2015 г. N 384&quot; {КонсультантПлюс}">
        <w:r>
          <w:rPr>
            <w:sz w:val="24"/>
            <w:color w:val="0000ff"/>
          </w:rPr>
          <w:t xml:space="preserve">N 1145</w:t>
        </w:r>
      </w:hyperlink>
      <w:r>
        <w:rPr>
          <w:sz w:val="24"/>
        </w:rPr>
        <w:t xml:space="preserve">)</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0"/>
        <w:jc w:val="right"/>
      </w:pPr>
      <w:r>
        <w:rPr>
          <w:sz w:val="24"/>
        </w:rPr>
        <w:t xml:space="preserve">Приложение N 2</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10 августа 2015 г. N 384</w:t>
      </w:r>
    </w:p>
    <w:p>
      <w:pPr>
        <w:pStyle w:val="0"/>
        <w:ind w:firstLine="540"/>
        <w:jc w:val="both"/>
      </w:pPr>
      <w:r>
        <w:rPr>
          <w:sz w:val="24"/>
        </w:rPr>
      </w:r>
    </w:p>
    <w:bookmarkStart w:id="1146" w:name="P1146"/>
    <w:bookmarkEnd w:id="1146"/>
    <w:p>
      <w:pPr>
        <w:pStyle w:val="2"/>
        <w:jc w:val="center"/>
      </w:pPr>
      <w:r>
        <w:rPr>
          <w:sz w:val="24"/>
        </w:rPr>
        <w:t xml:space="preserve">ПОРЯДОК</w:t>
      </w:r>
    </w:p>
    <w:p>
      <w:pPr>
        <w:pStyle w:val="2"/>
        <w:jc w:val="center"/>
      </w:pPr>
      <w:r>
        <w:rPr>
          <w:sz w:val="24"/>
        </w:rPr>
        <w:t xml:space="preserve">ПРЕДОСТАВЛЕНИЯ ИЗ ОБЛАСТНОГО БЮДЖЕТА СУБСИДИЙ</w:t>
      </w:r>
    </w:p>
    <w:p>
      <w:pPr>
        <w:pStyle w:val="2"/>
        <w:jc w:val="center"/>
      </w:pPr>
      <w:r>
        <w:rPr>
          <w:sz w:val="24"/>
        </w:rPr>
        <w:t xml:space="preserve">ОБЛАСТНЫМ БЮДЖЕТНЫМ И АВТОНОМНЫМ УЧРЕЖДЕНИЯМ</w:t>
      </w:r>
    </w:p>
    <w:p>
      <w:pPr>
        <w:pStyle w:val="2"/>
        <w:jc w:val="center"/>
      </w:pPr>
      <w:r>
        <w:rPr>
          <w:sz w:val="24"/>
        </w:rPr>
        <w:t xml:space="preserve">НА ФИНАНСОВОЕ ОБЕСПЕЧЕНИЕ ВЫПОЛНЕНИЯ</w:t>
      </w:r>
    </w:p>
    <w:p>
      <w:pPr>
        <w:pStyle w:val="2"/>
        <w:jc w:val="center"/>
      </w:pPr>
      <w:r>
        <w:rPr>
          <w:sz w:val="24"/>
        </w:rPr>
        <w:t xml:space="preserve">ИМИ ГОСУДАРСТВЕННОГО ЗАДАНИЯ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11.11.2016 </w:t>
            </w:r>
            <w:hyperlink w:history="0" r:id="rId199"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4"/>
                  <w:color w:val="0000ff"/>
                </w:rPr>
                <w:t xml:space="preserve">N 496</w:t>
              </w:r>
            </w:hyperlink>
            <w:r>
              <w:rPr>
                <w:sz w:val="24"/>
                <w:color w:val="392c69"/>
              </w:rPr>
              <w:t xml:space="preserve">, от 30.03.2017 </w:t>
            </w:r>
            <w:hyperlink w:history="0" r:id="rId200" w:tooltip="Постановление Правительства Амурской области от 30.03.2017 N 148 &quot;О внесении изменения в постановление Правительства Амурской области от 10 августа 2015 г. N 384&quot; {КонсультантПлюс}">
              <w:r>
                <w:rPr>
                  <w:sz w:val="24"/>
                  <w:color w:val="0000ff"/>
                </w:rPr>
                <w:t xml:space="preserve">N 148</w:t>
              </w:r>
            </w:hyperlink>
            <w:r>
              <w:rPr>
                <w:sz w:val="24"/>
                <w:color w:val="392c69"/>
              </w:rPr>
              <w:t xml:space="preserve">,</w:t>
            </w:r>
          </w:p>
          <w:p>
            <w:pPr>
              <w:pStyle w:val="0"/>
              <w:jc w:val="center"/>
            </w:pPr>
            <w:r>
              <w:rPr>
                <w:sz w:val="24"/>
                <w:color w:val="392c69"/>
              </w:rPr>
              <w:t xml:space="preserve">от 20.12.2019 </w:t>
            </w:r>
            <w:hyperlink w:history="0" r:id="rId20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color w:val="392c69"/>
              </w:rPr>
              <w:t xml:space="preserve">, от 05.08.2022 </w:t>
            </w:r>
            <w:hyperlink w:history="0" r:id="rId202" w:tooltip="Постановление Правительства Амурской области от 05.08.2022 N 804 &quot;О внесении изменений в постановление Правительства Амурской области от 10 августа 2015 г. N 384&quot; {КонсультантПлюс}">
              <w:r>
                <w:rPr>
                  <w:sz w:val="24"/>
                  <w:color w:val="0000ff"/>
                </w:rPr>
                <w:t xml:space="preserve">N 804</w:t>
              </w:r>
            </w:hyperlink>
            <w:r>
              <w:rPr>
                <w:sz w:val="24"/>
                <w:color w:val="392c69"/>
              </w:rPr>
              <w:t xml:space="preserve">,</w:t>
            </w:r>
          </w:p>
          <w:p>
            <w:pPr>
              <w:pStyle w:val="0"/>
              <w:jc w:val="center"/>
            </w:pPr>
            <w:r>
              <w:rPr>
                <w:sz w:val="24"/>
                <w:color w:val="392c69"/>
              </w:rPr>
              <w:t xml:space="preserve">от 28.09.2023 </w:t>
            </w:r>
            <w:hyperlink w:history="0" r:id="rId203"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p>
      <w:pPr>
        <w:pStyle w:val="0"/>
        <w:ind w:firstLine="540"/>
        <w:jc w:val="both"/>
      </w:pPr>
      <w:r>
        <w:rPr>
          <w:sz w:val="24"/>
        </w:rPr>
        <w:t xml:space="preserve">1. Настоящий Порядок определяет порядок предоставления из областного бюджета субсидий областным бюджетным и автономным учреждениям (далее - учреждения) на финансовое обеспечение выполнения ими государственного задания (далее - субсидии).</w:t>
      </w:r>
    </w:p>
    <w:p>
      <w:pPr>
        <w:pStyle w:val="0"/>
        <w:spacing w:before="240" w:lineRule="auto"/>
        <w:ind w:firstLine="540"/>
        <w:jc w:val="both"/>
      </w:pPr>
      <w:r>
        <w:rPr>
          <w:sz w:val="24"/>
        </w:rPr>
        <w:t xml:space="preserve">2. Субсидии предоставляются учреждениям в целях финансового обеспечения выполнения ими государственного задания, сформированного в отношении учреждений органом исполнительной власти Амурской области, осуществляющим функции и полномочия учредителя (далее - орган, осуществляющий функции и полномочия учредителя).</w:t>
      </w:r>
    </w:p>
    <w:p>
      <w:pPr>
        <w:pStyle w:val="0"/>
        <w:jc w:val="both"/>
      </w:pPr>
      <w:r>
        <w:rPr>
          <w:sz w:val="24"/>
        </w:rPr>
        <w:t xml:space="preserve">(в ред. постановления Правительства Амурской области от 28.09.2023 </w:t>
      </w:r>
      <w:hyperlink w:history="0" r:id="rId204"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3. Предоставление субсидий осуществляется в соответствии со сводной бюджетной росписью областного бюджета и доведенных в установленном порядке органу, осуществляющему функции и полномочия учредителя, лимитов бюджетных обязательств.</w:t>
      </w:r>
    </w:p>
    <w:p>
      <w:pPr>
        <w:pStyle w:val="0"/>
        <w:spacing w:before="240" w:lineRule="auto"/>
        <w:ind w:firstLine="540"/>
        <w:jc w:val="both"/>
      </w:pPr>
      <w:r>
        <w:rPr>
          <w:sz w:val="24"/>
        </w:rPr>
        <w:t xml:space="preserve">4. Размер субсидии рассчитывается в порядке, установленном </w:t>
      </w:r>
      <w:hyperlink w:history="0" w:anchor="P121" w:tooltip="ПОЛОЖЕНИЕ">
        <w:r>
          <w:rPr>
            <w:sz w:val="24"/>
            <w:color w:val="0000ff"/>
          </w:rPr>
          <w:t xml:space="preserve">Положением</w:t>
        </w:r>
      </w:hyperlink>
      <w:r>
        <w:rPr>
          <w:sz w:val="24"/>
        </w:rPr>
        <w:t xml:space="preserve"> о формировании государственного задания на оказание государственных услуг (выполнение работ) в отношении областных государственных учреждений и финансовом обеспечении выполнения государственного задания (далее - Положение).</w:t>
      </w:r>
    </w:p>
    <w:p>
      <w:pPr>
        <w:pStyle w:val="0"/>
        <w:spacing w:before="240" w:lineRule="auto"/>
        <w:ind w:firstLine="540"/>
        <w:jc w:val="both"/>
      </w:pPr>
      <w:r>
        <w:rPr>
          <w:sz w:val="24"/>
        </w:rPr>
        <w:t xml:space="preserve">5. Предоставление учреждению субсидий осуществляется на основании соглашения о предоставлении субсидии, заключенного учреждением и органом, осуществляющим функции и полномочия учредителя, в соответствии с типовой </w:t>
      </w:r>
      <w:hyperlink w:history="0" r:id="rId205" w:tooltip="Приказ Минфина Амурской области от 26.06.2023 N 198 &quot;Об утверждении Типовой формы соглашения о предоставлении субсидии государственному бюджетному или автономному учреждению Амурской области на финансовое обеспечение выполнения государственного задания на оказание государственных услуг (выполнение работ)&quot; {КонсультантПлюс}">
        <w:r>
          <w:rPr>
            <w:sz w:val="24"/>
            <w:color w:val="0000ff"/>
          </w:rPr>
          <w:t xml:space="preserve">формой</w:t>
        </w:r>
      </w:hyperlink>
      <w:r>
        <w:rPr>
          <w:sz w:val="24"/>
        </w:rPr>
        <w:t xml:space="preserve">, утвержденной приказом министерства финансов Амурской области от 26 июня 2023 г. N 198 (далее - Соглашение).</w:t>
      </w:r>
    </w:p>
    <w:p>
      <w:pPr>
        <w:pStyle w:val="0"/>
        <w:jc w:val="both"/>
      </w:pPr>
      <w:r>
        <w:rPr>
          <w:sz w:val="24"/>
        </w:rPr>
        <w:t xml:space="preserve">(в ред. постановлений Правительства Амурской области от 05.08.2022 </w:t>
      </w:r>
      <w:hyperlink w:history="0" r:id="rId206" w:tooltip="Постановление Правительства Амурской области от 05.08.2022 N 804 &quot;О внесении изменений в постановление Правительства Амурской области от 10 августа 2015 г. N 384&quot; {КонсультантПлюс}">
        <w:r>
          <w:rPr>
            <w:sz w:val="24"/>
            <w:color w:val="0000ff"/>
          </w:rPr>
          <w:t xml:space="preserve">N 804</w:t>
        </w:r>
      </w:hyperlink>
      <w:r>
        <w:rPr>
          <w:sz w:val="24"/>
        </w:rPr>
        <w:t xml:space="preserve">, от 28.09.2023 </w:t>
      </w:r>
      <w:hyperlink w:history="0" r:id="rId207" w:tooltip="Постановление Правительства Амурской области от 28.09.2023 N 811 &quot;О внесении изменений в постановление Правительства Амурской области от 10 августа 2015 г. N 384&quot; {КонсультантПлюс}">
        <w:r>
          <w:rPr>
            <w:sz w:val="24"/>
            <w:color w:val="0000ff"/>
          </w:rPr>
          <w:t xml:space="preserve">N 811</w:t>
        </w:r>
      </w:hyperlink>
      <w:r>
        <w:rPr>
          <w:sz w:val="24"/>
        </w:rPr>
        <w:t xml:space="preserve">)</w:t>
      </w:r>
    </w:p>
    <w:p>
      <w:pPr>
        <w:pStyle w:val="0"/>
        <w:spacing w:before="240" w:lineRule="auto"/>
        <w:ind w:firstLine="540"/>
        <w:jc w:val="both"/>
      </w:pPr>
      <w:r>
        <w:rPr>
          <w:sz w:val="24"/>
        </w:rPr>
        <w:t xml:space="preserve">Соглашение определяет права, обязанности и ответственность сторон, в том числе объем и периодичность перечисления субсидии в течение финансового года, а также возможные отклонения от установленных показателей, в пределах которых государственное задание считается выполненным.</w:t>
      </w:r>
    </w:p>
    <w:p>
      <w:pPr>
        <w:pStyle w:val="0"/>
        <w:spacing w:before="240" w:lineRule="auto"/>
        <w:ind w:firstLine="540"/>
        <w:jc w:val="both"/>
      </w:pPr>
      <w:r>
        <w:rPr>
          <w:sz w:val="24"/>
        </w:rPr>
        <w:t xml:space="preserve">Орган, осуществляющий функции и полномочия учредителя, обязан установить в Соглашении количественно измеримые финансовые санкции (штрафы, изъятия) за нарушение условий выполнения государственного задания.</w:t>
      </w:r>
    </w:p>
    <w:p>
      <w:pPr>
        <w:pStyle w:val="0"/>
        <w:spacing w:before="240" w:lineRule="auto"/>
        <w:ind w:firstLine="540"/>
        <w:jc w:val="both"/>
      </w:pPr>
      <w:r>
        <w:rPr>
          <w:sz w:val="24"/>
        </w:rPr>
        <w:t xml:space="preserve">Соглашение заключается не позднее 15 рабочих дней со дня утверждения государственного задания в форме электронного документа с использованием информационной системы "АЦК-Планирование".</w:t>
      </w:r>
    </w:p>
    <w:p>
      <w:pPr>
        <w:pStyle w:val="0"/>
        <w:jc w:val="both"/>
      </w:pPr>
      <w:r>
        <w:rPr>
          <w:sz w:val="24"/>
        </w:rPr>
        <w:t xml:space="preserve">(в ред. постановления Правительства Амурской области от 05.08.2022 </w:t>
      </w:r>
      <w:hyperlink w:history="0" r:id="rId208" w:tooltip="Постановление Правительства Амурской области от 05.08.2022 N 804 &quot;О внесении изменений в постановление Правительства Амурской области от 10 августа 2015 г. N 384&quot; {КонсультантПлюс}">
        <w:r>
          <w:rPr>
            <w:sz w:val="24"/>
            <w:color w:val="0000ff"/>
          </w:rPr>
          <w:t xml:space="preserve">N 804</w:t>
        </w:r>
      </w:hyperlink>
      <w:r>
        <w:rPr>
          <w:sz w:val="24"/>
        </w:rPr>
        <w:t xml:space="preserve">)</w:t>
      </w:r>
    </w:p>
    <w:p>
      <w:pPr>
        <w:pStyle w:val="0"/>
        <w:jc w:val="both"/>
      </w:pPr>
      <w:r>
        <w:rPr>
          <w:sz w:val="24"/>
        </w:rPr>
        <w:t xml:space="preserve">(п. 5 в ред. постановления Правительства Амурской области от 20.12.2019 </w:t>
      </w:r>
      <w:hyperlink w:history="0" r:id="rId209"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spacing w:before="240" w:lineRule="auto"/>
        <w:ind w:firstLine="540"/>
        <w:jc w:val="both"/>
      </w:pPr>
      <w:r>
        <w:rPr>
          <w:sz w:val="24"/>
        </w:rPr>
        <w:t xml:space="preserve">6. Субсидии перечисляются в установленном порядке на лицевой счет бюджетного или автономного учреждения, открытый в министерстве финансов Амурской области, или на счет, открытый в кредитной организации областному автономному учреждению, в случаях, установленных федеральными законами.</w:t>
      </w:r>
    </w:p>
    <w:bookmarkStart w:id="1170" w:name="P1170"/>
    <w:bookmarkEnd w:id="1170"/>
    <w:p>
      <w:pPr>
        <w:pStyle w:val="0"/>
        <w:spacing w:before="240" w:lineRule="auto"/>
        <w:ind w:firstLine="540"/>
        <w:jc w:val="both"/>
      </w:pPr>
      <w:r>
        <w:rPr>
          <w:sz w:val="24"/>
        </w:rPr>
        <w:t xml:space="preserve">7. Перечисление субсидии осуществляется в соответствии с графиком, содержащимся в Соглашении, не реже одного раза в квартал.</w:t>
      </w:r>
    </w:p>
    <w:p>
      <w:pPr>
        <w:pStyle w:val="0"/>
        <w:jc w:val="both"/>
      </w:pPr>
      <w:r>
        <w:rPr>
          <w:sz w:val="24"/>
        </w:rPr>
        <w:t xml:space="preserve">(п. 7 в ред. постановления Правительства Амурской области от 30.03.2017 </w:t>
      </w:r>
      <w:hyperlink w:history="0" r:id="rId210" w:tooltip="Постановление Правительства Амурской области от 30.03.2017 N 148 &quot;О внесении изменения в постановление Правительства Амурской области от 10 августа 2015 г. N 384&quot; {КонсультантПлюс}">
        <w:r>
          <w:rPr>
            <w:sz w:val="24"/>
            <w:color w:val="0000ff"/>
          </w:rPr>
          <w:t xml:space="preserve">N 148</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211"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Постановлением</w:t>
              </w:r>
            </w:hyperlink>
            <w:r>
              <w:rPr>
                <w:sz w:val="24"/>
                <w:color w:val="392c69"/>
              </w:rPr>
              <w:t xml:space="preserve"> Правительства Амурской области от 20.12.2019 N 742 в п. 8 внесены изменения, которые </w:t>
            </w:r>
            <w:hyperlink w:history="0" r:id="rId212"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применяются</w:t>
              </w:r>
            </w:hyperlink>
            <w:r>
              <w:rPr>
                <w:sz w:val="24"/>
                <w:color w:val="392c69"/>
              </w:rPr>
              <w:t xml:space="preserve"> при формировании государственного задания и расчете объема финансового обеспечения его выполнения начиная с государственного задания на 2020 год и на плановый период 2021 и 2022 годов.</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73" w:name="P1173"/>
    <w:bookmarkEnd w:id="1173"/>
    <w:p>
      <w:pPr>
        <w:pStyle w:val="0"/>
        <w:spacing w:before="300" w:lineRule="auto"/>
        <w:ind w:firstLine="540"/>
        <w:jc w:val="both"/>
      </w:pPr>
      <w:r>
        <w:rPr>
          <w:sz w:val="24"/>
        </w:rPr>
        <w:t xml:space="preserve">8. Если на основании отчета о выполнении государственного задания, предусмотренного </w:t>
      </w:r>
      <w:hyperlink w:history="0" w:anchor="P353" w:tooltip="39. Областные бюджетные и автономные учреждения, областные казенные учреждения представляют соответственно органам, осуществляющим функции и полномочия учредителей в отношении областных бюджетных или автономных учреждений, главным распорядителям средств областного бюджета, в ведении которых находятся областные казенные учреждения, отчет о выполнении государственного задания, предусмотренный приложением N 2 к настоящему Положению, в соответствии с требованиями, установленными в государственном задании.">
        <w:r>
          <w:rPr>
            <w:sz w:val="24"/>
            <w:color w:val="0000ff"/>
          </w:rPr>
          <w:t xml:space="preserve">пунктом 39</w:t>
        </w:r>
      </w:hyperlink>
      <w:r>
        <w:rPr>
          <w:sz w:val="24"/>
        </w:rPr>
        <w:t xml:space="preserve"> Положения, показатели объема, указанные в отчете о выполнении государственного задания, меньше показателей, установленных в государственном задании (с учетом допустимых (возможных) отклонений), то средства субсидии подлежат перечислению в областной бюджет в соответствии с бюджетным законодательством Российской Федерации в объеме, соответствующем показателям, характеризующим объем неоказанной государственной услуги (невыполненной работы), и учитываются в порядке, установленном для учета сумм возврата дебиторской задолженности.</w:t>
      </w:r>
    </w:p>
    <w:p>
      <w:pPr>
        <w:pStyle w:val="0"/>
        <w:jc w:val="both"/>
      </w:pPr>
      <w:r>
        <w:rPr>
          <w:sz w:val="24"/>
        </w:rPr>
        <w:t xml:space="preserve">(п. 8 в ред. постановления Правительства Амурской области от 20.12.2019 </w:t>
      </w:r>
      <w:hyperlink w:history="0" r:id="rId213" w:tooltip="Постановление Правительства Амурской области от 20.12.2019 N 742 &quot;О внесении изменений в постановление Правительства Амурской области от 10 августа 2015 г. N 384&quot; {КонсультантПлюс}">
        <w:r>
          <w:rPr>
            <w:sz w:val="24"/>
            <w:color w:val="0000ff"/>
          </w:rPr>
          <w:t xml:space="preserve">N 742</w:t>
        </w:r>
      </w:hyperlink>
      <w:r>
        <w:rPr>
          <w:sz w:val="24"/>
        </w:rPr>
        <w:t xml:space="preserve">)</w:t>
      </w:r>
    </w:p>
    <w:p>
      <w:pPr>
        <w:pStyle w:val="0"/>
        <w:ind w:firstLine="540"/>
        <w:jc w:val="both"/>
      </w:pPr>
      <w:r>
        <w:rPr>
          <w:sz w:val="24"/>
        </w:rPr>
      </w:r>
    </w:p>
    <w:p>
      <w:pPr>
        <w:pStyle w:val="1"/>
        <w:jc w:val="both"/>
      </w:pPr>
      <w:r>
        <w:rPr>
          <w:sz w:val="20"/>
        </w:rPr>
        <w:t xml:space="preserve">     1</w:t>
      </w:r>
    </w:p>
    <w:p>
      <w:pPr>
        <w:pStyle w:val="1"/>
        <w:jc w:val="both"/>
      </w:pPr>
      <w:r>
        <w:rPr>
          <w:sz w:val="20"/>
        </w:rPr>
        <w:t xml:space="preserve">    8 .  Требования,  установленные  </w:t>
      </w:r>
      <w:hyperlink w:history="0" w:anchor="P1170" w:tooltip="7. Перечисление субсидии осуществляется в соответствии с графиком, содержащимся в Соглашении, не реже одного раза в квартал.">
        <w:r>
          <w:rPr>
            <w:sz w:val="20"/>
            <w:color w:val="0000ff"/>
          </w:rPr>
          <w:t xml:space="preserve">пунктами 7</w:t>
        </w:r>
      </w:hyperlink>
      <w:r>
        <w:rPr>
          <w:sz w:val="20"/>
        </w:rPr>
        <w:t xml:space="preserve"> и </w:t>
      </w:r>
      <w:hyperlink w:history="0" w:anchor="P1173" w:tooltip="8. Если на основании отчета о выполнении государственного задания, предусмотренного пунктом 39 Положения, показатели объема, указанные в отчете о выполнении государственного задания, меньше показателей, установленных в государственном задании (с учетом допустимых (возможных) отклонений), то средства субсидии подлежат перечислению в областной бюджет в соответствии с бюджетным законодательством Российской Федерации в объеме, соответствующем показателям, характеризующим объем неоказанной государственной усл...">
        <w:r>
          <w:rPr>
            <w:sz w:val="20"/>
            <w:color w:val="0000ff"/>
          </w:rPr>
          <w:t xml:space="preserve">8</w:t>
        </w:r>
      </w:hyperlink>
      <w:r>
        <w:rPr>
          <w:sz w:val="20"/>
        </w:rPr>
        <w:t xml:space="preserve"> настоящего Порядка,  не</w:t>
      </w:r>
    </w:p>
    <w:p>
      <w:pPr>
        <w:pStyle w:val="1"/>
        <w:jc w:val="both"/>
      </w:pPr>
      <w:r>
        <w:rPr>
          <w:sz w:val="20"/>
        </w:rPr>
        <w:t xml:space="preserve">распространяются  на  учреждения,  находящиеся в процессе реорганизации или</w:t>
      </w:r>
    </w:p>
    <w:p>
      <w:pPr>
        <w:pStyle w:val="1"/>
        <w:jc w:val="both"/>
      </w:pPr>
      <w:r>
        <w:rPr>
          <w:sz w:val="20"/>
        </w:rPr>
        <w:t xml:space="preserve">ликвидации.</w:t>
      </w:r>
    </w:p>
    <w:p>
      <w:pPr>
        <w:pStyle w:val="1"/>
        <w:jc w:val="both"/>
      </w:pPr>
      <w:r>
        <w:rPr>
          <w:sz w:val="20"/>
        </w:rPr>
        <w:t xml:space="preserve">     1</w:t>
      </w:r>
    </w:p>
    <w:p>
      <w:pPr>
        <w:pStyle w:val="1"/>
        <w:jc w:val="both"/>
      </w:pPr>
      <w:r>
        <w:rPr>
          <w:sz w:val="20"/>
        </w:rPr>
        <w:t xml:space="preserve">(п. 8  введен постановлением Правительства  Амурской  области от 11.11.2016</w:t>
      </w:r>
    </w:p>
    <w:p>
      <w:pPr>
        <w:pStyle w:val="1"/>
        <w:jc w:val="both"/>
      </w:pPr>
      <w:hyperlink w:history="0" r:id="rId214" w:tooltip="Постановление Правительства Амурской области от 11.11.2016 N 496 &quot;О внесении изменений в постановление Правительства области от 10 августа 2015 г. N 384&quot; {КонсультантПлюс}">
        <w:r>
          <w:rPr>
            <w:sz w:val="20"/>
            <w:color w:val="0000ff"/>
          </w:rPr>
          <w:t xml:space="preserve">N 496</w:t>
        </w:r>
      </w:hyperlink>
      <w:r>
        <w:rPr>
          <w:sz w:val="20"/>
        </w:rPr>
        <w:t xml:space="preserve">)</w:t>
      </w:r>
    </w:p>
    <w:p>
      <w:pPr>
        <w:pStyle w:val="0"/>
        <w:ind w:firstLine="540"/>
        <w:jc w:val="both"/>
      </w:pPr>
      <w:r>
        <w:rPr>
          <w:sz w:val="24"/>
        </w:rPr>
      </w:r>
    </w:p>
    <w:p>
      <w:pPr>
        <w:pStyle w:val="0"/>
        <w:ind w:firstLine="540"/>
        <w:jc w:val="both"/>
      </w:pPr>
      <w:r>
        <w:rPr>
          <w:sz w:val="24"/>
        </w:rPr>
        <w:t xml:space="preserve">9. Не использованные учреждениями в текущем финансовом году остатки субсидии в очередном финансовом году поступают в их самостоятельное распоряжение и используются ими в очередном финансовом году для достижения целей, ради которых эти учреждения созданы.</w:t>
      </w:r>
    </w:p>
    <w:p>
      <w:pPr>
        <w:pStyle w:val="0"/>
        <w:spacing w:before="240" w:lineRule="auto"/>
        <w:ind w:firstLine="540"/>
        <w:jc w:val="both"/>
      </w:pPr>
      <w:r>
        <w:rPr>
          <w:sz w:val="24"/>
        </w:rPr>
        <w:t xml:space="preserve">10. Субсидии, использованные учреждениями не по целевому назначению, подлежат возврату в областной бюджет в порядке, установленном законодательством.</w:t>
      </w:r>
    </w:p>
    <w:p>
      <w:pPr>
        <w:pStyle w:val="0"/>
        <w:spacing w:before="240" w:lineRule="auto"/>
        <w:ind w:firstLine="540"/>
        <w:jc w:val="both"/>
      </w:pPr>
      <w:r>
        <w:rPr>
          <w:sz w:val="24"/>
        </w:rPr>
        <w:t xml:space="preserve">11. Контроль за соблюдением порядка предоставления субсидий осуществляют органы, осуществляющие функции и полномочия учредителя, и органы государственного финансового контроля области.</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0"/>
        <w:jc w:val="right"/>
      </w:pPr>
      <w:r>
        <w:rPr>
          <w:sz w:val="24"/>
        </w:rPr>
        <w:t xml:space="preserve">Приложение N 3</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10 августа 2015 г. N 384</w:t>
      </w:r>
    </w:p>
    <w:p>
      <w:pPr>
        <w:pStyle w:val="0"/>
        <w:ind w:firstLine="540"/>
        <w:jc w:val="both"/>
      </w:pPr>
      <w:r>
        <w:rPr>
          <w:sz w:val="24"/>
        </w:rPr>
      </w:r>
    </w:p>
    <w:p>
      <w:pPr>
        <w:pStyle w:val="2"/>
        <w:jc w:val="center"/>
      </w:pPr>
      <w:r>
        <w:rPr>
          <w:sz w:val="24"/>
        </w:rPr>
        <w:t xml:space="preserve">ПОРЯДОК</w:t>
      </w:r>
    </w:p>
    <w:p>
      <w:pPr>
        <w:pStyle w:val="2"/>
        <w:jc w:val="center"/>
      </w:pPr>
      <w:r>
        <w:rPr>
          <w:sz w:val="24"/>
        </w:rPr>
        <w:t xml:space="preserve">ОПРЕДЕЛЕНИЯ ОБЪЕМА И УСЛОВИЙ ПРЕДОСТАВЛЕНИЯ ИЗ ОБЛАСТНОГО</w:t>
      </w:r>
    </w:p>
    <w:p>
      <w:pPr>
        <w:pStyle w:val="2"/>
        <w:jc w:val="center"/>
      </w:pPr>
      <w:r>
        <w:rPr>
          <w:sz w:val="24"/>
        </w:rPr>
        <w:t xml:space="preserve">БЮДЖЕТА СУБСИДИЙ ОБЛАСТНЫМ БЮДЖЕТНЫМ И АВТОНОМНЫМ</w:t>
      </w:r>
    </w:p>
    <w:p>
      <w:pPr>
        <w:pStyle w:val="2"/>
        <w:jc w:val="center"/>
      </w:pPr>
      <w:r>
        <w:rPr>
          <w:sz w:val="24"/>
        </w:rPr>
        <w:t xml:space="preserve">УЧРЕЖДЕНИЯМ НА ИНЫЕ ЦЕЛИ</w:t>
      </w:r>
    </w:p>
    <w:p>
      <w:pPr>
        <w:pStyle w:val="0"/>
        <w:ind w:firstLine="540"/>
        <w:jc w:val="both"/>
      </w:pPr>
      <w:r>
        <w:rPr>
          <w:sz w:val="24"/>
        </w:rPr>
      </w:r>
    </w:p>
    <w:p>
      <w:pPr>
        <w:pStyle w:val="0"/>
        <w:ind w:firstLine="540"/>
        <w:jc w:val="both"/>
      </w:pPr>
      <w:r>
        <w:rPr>
          <w:sz w:val="24"/>
        </w:rPr>
        <w:t xml:space="preserve">Утратил силу с 1 января 2021 года. - Постановление Правительства Амурской области от 23.12.2020 </w:t>
      </w:r>
      <w:hyperlink w:history="0" r:id="rId215" w:tooltip="Постановление Правительства Амурской области от 23.12.2020 N 877 &quot;О внесении изменений в постановление Правительства Амурской области от 10 августа 2015 г. N 384&quot; {КонсультантПлюс}">
        <w:r>
          <w:rPr>
            <w:sz w:val="24"/>
            <w:color w:val="0000ff"/>
          </w:rPr>
          <w:t xml:space="preserve">N 877</w:t>
        </w:r>
      </w:hyperlink>
      <w:r>
        <w:rPr>
          <w:sz w:val="24"/>
        </w:rPr>
        <w:t xml:space="preserve">.</w:t>
      </w:r>
    </w:p>
    <w:p>
      <w:pPr>
        <w:pStyle w:val="0"/>
        <w:ind w:firstLine="540"/>
        <w:jc w:val="both"/>
      </w:pPr>
      <w:r>
        <w:rPr>
          <w:sz w:val="24"/>
        </w:rPr>
      </w:r>
    </w:p>
    <w:p>
      <w:pPr>
        <w:pStyle w:val="0"/>
        <w:ind w:firstLine="54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10.08.2015 N 384</w:t>
            <w:br/>
            <w:t>(ред. от 26.06.2025)</w:t>
            <w:br/>
            <w:t>"Об утверждении Положения о формир...</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10.08.2015 N 384</w:t>
            <w:br/>
            <w:t>(ред. от 26.06.2025)</w:t>
            <w:br/>
            <w:t>"Об утверждении Положения о формир...</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86100&amp;date=02.03.2026&amp;dst=100005&amp;field=134" TargetMode = "External"/><Relationship Id="rId9" Type="http://schemas.openxmlformats.org/officeDocument/2006/relationships/hyperlink" Target="https://login.consultant.ru/link/?req=doc&amp;base=RLAW080&amp;n=90857&amp;date=02.03.2026&amp;dst=100005&amp;field=134" TargetMode = "External"/><Relationship Id="rId10" Type="http://schemas.openxmlformats.org/officeDocument/2006/relationships/hyperlink" Target="https://login.consultant.ru/link/?req=doc&amp;base=RLAW080&amp;n=93635&amp;date=02.03.2026&amp;dst=100005&amp;field=134" TargetMode = "External"/><Relationship Id="rId11" Type="http://schemas.openxmlformats.org/officeDocument/2006/relationships/hyperlink" Target="https://login.consultant.ru/link/?req=doc&amp;base=RLAW080&amp;n=98923&amp;date=02.03.2026&amp;dst=100005&amp;field=134" TargetMode = "External"/><Relationship Id="rId12" Type="http://schemas.openxmlformats.org/officeDocument/2006/relationships/hyperlink" Target="https://login.consultant.ru/link/?req=doc&amp;base=RLAW080&amp;n=99395&amp;date=02.03.2026&amp;dst=100005&amp;field=134" TargetMode = "External"/><Relationship Id="rId13" Type="http://schemas.openxmlformats.org/officeDocument/2006/relationships/hyperlink" Target="https://login.consultant.ru/link/?req=doc&amp;base=RLAW080&amp;n=106148&amp;date=02.03.2026&amp;dst=100005&amp;field=134" TargetMode = "External"/><Relationship Id="rId14" Type="http://schemas.openxmlformats.org/officeDocument/2006/relationships/hyperlink" Target="https://login.consultant.ru/link/?req=doc&amp;base=RLAW080&amp;n=116931&amp;date=02.03.2026&amp;dst=100005&amp;field=134" TargetMode = "External"/><Relationship Id="rId15" Type="http://schemas.openxmlformats.org/officeDocument/2006/relationships/hyperlink" Target="https://login.consultant.ru/link/?req=doc&amp;base=RLAW080&amp;n=119081&amp;date=02.03.2026&amp;dst=100005&amp;field=134" TargetMode = "External"/><Relationship Id="rId16" Type="http://schemas.openxmlformats.org/officeDocument/2006/relationships/hyperlink" Target="https://login.consultant.ru/link/?req=doc&amp;base=RLAW080&amp;n=119245&amp;date=02.03.2026&amp;dst=100005&amp;field=134" TargetMode = "External"/><Relationship Id="rId17" Type="http://schemas.openxmlformats.org/officeDocument/2006/relationships/hyperlink" Target="https://login.consultant.ru/link/?req=doc&amp;base=RLAW080&amp;n=119602&amp;date=02.03.2026&amp;dst=100005&amp;field=134" TargetMode = "External"/><Relationship Id="rId18" Type="http://schemas.openxmlformats.org/officeDocument/2006/relationships/hyperlink" Target="https://login.consultant.ru/link/?req=doc&amp;base=RLAW080&amp;n=119712&amp;date=02.03.2026&amp;dst=100005&amp;field=134" TargetMode = "External"/><Relationship Id="rId19" Type="http://schemas.openxmlformats.org/officeDocument/2006/relationships/hyperlink" Target="https://login.consultant.ru/link/?req=doc&amp;base=RLAW080&amp;n=124349&amp;date=02.03.2026&amp;dst=100005&amp;field=134" TargetMode = "External"/><Relationship Id="rId20" Type="http://schemas.openxmlformats.org/officeDocument/2006/relationships/hyperlink" Target="https://login.consultant.ru/link/?req=doc&amp;base=RLAW080&amp;n=126273&amp;date=02.03.2026&amp;dst=100005&amp;field=134" TargetMode = "External"/><Relationship Id="rId21" Type="http://schemas.openxmlformats.org/officeDocument/2006/relationships/hyperlink" Target="https://login.consultant.ru/link/?req=doc&amp;base=RLAW080&amp;n=127184&amp;date=02.03.2026&amp;dst=100005&amp;field=134" TargetMode = "External"/><Relationship Id="rId22" Type="http://schemas.openxmlformats.org/officeDocument/2006/relationships/hyperlink" Target="https://login.consultant.ru/link/?req=doc&amp;base=RLAW080&amp;n=131330&amp;date=02.03.2026&amp;dst=100005&amp;field=134" TargetMode = "External"/><Relationship Id="rId23" Type="http://schemas.openxmlformats.org/officeDocument/2006/relationships/hyperlink" Target="https://login.consultant.ru/link/?req=doc&amp;base=RLAW080&amp;n=135447&amp;date=02.03.2026&amp;dst=100005&amp;field=134" TargetMode = "External"/><Relationship Id="rId24" Type="http://schemas.openxmlformats.org/officeDocument/2006/relationships/hyperlink" Target="https://login.consultant.ru/link/?req=doc&amp;base=RLAW080&amp;n=142626&amp;date=02.03.2026&amp;dst=100005&amp;field=134" TargetMode = "External"/><Relationship Id="rId25" Type="http://schemas.openxmlformats.org/officeDocument/2006/relationships/hyperlink" Target="https://login.consultant.ru/link/?req=doc&amp;base=RLAW080&amp;n=150112&amp;date=02.03.2026&amp;dst=100005&amp;field=134" TargetMode = "External"/><Relationship Id="rId26" Type="http://schemas.openxmlformats.org/officeDocument/2006/relationships/hyperlink" Target="https://login.consultant.ru/link/?req=doc&amp;base=RLAW080&amp;n=156264&amp;date=02.03.2026&amp;dst=100005&amp;field=134" TargetMode = "External"/><Relationship Id="rId27" Type="http://schemas.openxmlformats.org/officeDocument/2006/relationships/hyperlink" Target="https://login.consultant.ru/link/?req=doc&amp;base=RLAW080&amp;n=159989&amp;date=02.03.2026&amp;dst=100005&amp;field=134" TargetMode = "External"/><Relationship Id="rId28" Type="http://schemas.openxmlformats.org/officeDocument/2006/relationships/hyperlink" Target="https://login.consultant.ru/link/?req=doc&amp;base=RLAW080&amp;n=165118&amp;date=02.03.2026&amp;dst=100005&amp;field=134" TargetMode = "External"/><Relationship Id="rId29" Type="http://schemas.openxmlformats.org/officeDocument/2006/relationships/hyperlink" Target="https://login.consultant.ru/link/?req=doc&amp;base=RLAW080&amp;n=176773&amp;date=02.03.2026&amp;dst=100005&amp;field=134" TargetMode = "External"/><Relationship Id="rId30" Type="http://schemas.openxmlformats.org/officeDocument/2006/relationships/hyperlink" Target="https://login.consultant.ru/link/?req=doc&amp;base=LAW&amp;n=495710&amp;date=02.03.2026&amp;dst=3595&amp;field=134" TargetMode = "External"/><Relationship Id="rId31" Type="http://schemas.openxmlformats.org/officeDocument/2006/relationships/hyperlink" Target="https://login.consultant.ru/link/?req=doc&amp;base=LAW&amp;n=495710&amp;date=02.03.2026&amp;dst=1381&amp;field=134" TargetMode = "External"/><Relationship Id="rId32" Type="http://schemas.openxmlformats.org/officeDocument/2006/relationships/hyperlink" Target="https://login.consultant.ru/link/?req=doc&amp;base=LAW&amp;n=495710&amp;date=02.03.2026&amp;dst=103407&amp;field=134" TargetMode = "External"/><Relationship Id="rId33" Type="http://schemas.openxmlformats.org/officeDocument/2006/relationships/hyperlink" Target="https://login.consultant.ru/link/?req=doc&amp;base=LAW&amp;n=523391&amp;date=02.03.2026&amp;dst=233&amp;field=134" TargetMode = "External"/><Relationship Id="rId34" Type="http://schemas.openxmlformats.org/officeDocument/2006/relationships/hyperlink" Target="https://login.consultant.ru/link/?req=doc&amp;base=LAW&amp;n=508376&amp;date=02.03.2026&amp;dst=100051&amp;field=134" TargetMode = "External"/><Relationship Id="rId35" Type="http://schemas.openxmlformats.org/officeDocument/2006/relationships/hyperlink" Target="https://login.consultant.ru/link/?req=doc&amp;base=RLAW080&amp;n=126273&amp;date=02.03.2026&amp;dst=100006&amp;field=134" TargetMode = "External"/><Relationship Id="rId36" Type="http://schemas.openxmlformats.org/officeDocument/2006/relationships/hyperlink" Target="https://login.consultant.ru/link/?req=doc&amp;base=LAW&amp;n=485676&amp;date=02.03.2026&amp;dst=100011&amp;field=134" TargetMode = "External"/><Relationship Id="rId37" Type="http://schemas.openxmlformats.org/officeDocument/2006/relationships/hyperlink" Target="https://login.consultant.ru/link/?req=doc&amp;base=RLAW080&amp;n=131330&amp;date=02.03.2026&amp;dst=100005&amp;field=134" TargetMode = "External"/><Relationship Id="rId38" Type="http://schemas.openxmlformats.org/officeDocument/2006/relationships/hyperlink" Target="https://login.consultant.ru/link/?req=doc&amp;base=RLAW080&amp;n=156264&amp;date=02.03.2026&amp;dst=100012&amp;field=134" TargetMode = "External"/><Relationship Id="rId39" Type="http://schemas.openxmlformats.org/officeDocument/2006/relationships/hyperlink" Target="https://login.consultant.ru/link/?req=doc&amp;base=LAW&amp;n=485676&amp;date=02.03.2026&amp;dst=100011&amp;field=134" TargetMode = "External"/><Relationship Id="rId40" Type="http://schemas.openxmlformats.org/officeDocument/2006/relationships/hyperlink" Target="https://login.consultant.ru/link/?req=doc&amp;base=RLAW080&amp;n=156264&amp;date=02.03.2026&amp;dst=100013&amp;field=134" TargetMode = "External"/><Relationship Id="rId41" Type="http://schemas.openxmlformats.org/officeDocument/2006/relationships/hyperlink" Target="https://login.consultant.ru/link/?req=doc&amp;base=RLAW080&amp;n=126273&amp;date=02.03.2026&amp;dst=100010&amp;field=134" TargetMode = "External"/><Relationship Id="rId42" Type="http://schemas.openxmlformats.org/officeDocument/2006/relationships/hyperlink" Target="https://login.consultant.ru/link/?req=doc&amp;base=RLAW080&amp;n=176773&amp;date=02.03.2026&amp;dst=100005&amp;field=134" TargetMode = "External"/><Relationship Id="rId43" Type="http://schemas.openxmlformats.org/officeDocument/2006/relationships/hyperlink" Target="https://login.consultant.ru/link/?req=doc&amp;base=RLAW080&amp;n=77784&amp;date=02.03.2026" TargetMode = "External"/><Relationship Id="rId44" Type="http://schemas.openxmlformats.org/officeDocument/2006/relationships/hyperlink" Target="https://login.consultant.ru/link/?req=doc&amp;base=RLAW080&amp;n=77783&amp;date=02.03.2026" TargetMode = "External"/><Relationship Id="rId45" Type="http://schemas.openxmlformats.org/officeDocument/2006/relationships/hyperlink" Target="https://login.consultant.ru/link/?req=doc&amp;base=RLAW080&amp;n=53860&amp;date=02.03.2026" TargetMode = "External"/><Relationship Id="rId46" Type="http://schemas.openxmlformats.org/officeDocument/2006/relationships/hyperlink" Target="https://login.consultant.ru/link/?req=doc&amp;base=RLAW080&amp;n=45891&amp;date=02.03.2026" TargetMode = "External"/><Relationship Id="rId47" Type="http://schemas.openxmlformats.org/officeDocument/2006/relationships/hyperlink" Target="https://login.consultant.ru/link/?req=doc&amp;base=RLAW080&amp;n=45982&amp;date=02.03.2026" TargetMode = "External"/><Relationship Id="rId48" Type="http://schemas.openxmlformats.org/officeDocument/2006/relationships/hyperlink" Target="https://login.consultant.ru/link/?req=doc&amp;base=RLAW080&amp;n=50370&amp;date=02.03.2026" TargetMode = "External"/><Relationship Id="rId49" Type="http://schemas.openxmlformats.org/officeDocument/2006/relationships/hyperlink" Target="https://login.consultant.ru/link/?req=doc&amp;base=RLAW080&amp;n=52626&amp;date=02.03.2026" TargetMode = "External"/><Relationship Id="rId50" Type="http://schemas.openxmlformats.org/officeDocument/2006/relationships/hyperlink" Target="https://login.consultant.ru/link/?req=doc&amp;base=RLAW080&amp;n=77770&amp;date=02.03.2026" TargetMode = "External"/><Relationship Id="rId51" Type="http://schemas.openxmlformats.org/officeDocument/2006/relationships/hyperlink" Target="https://login.consultant.ru/link/?req=doc&amp;base=RLAW080&amp;n=90857&amp;date=02.03.2026&amp;dst=100012&amp;field=134" TargetMode = "External"/><Relationship Id="rId52" Type="http://schemas.openxmlformats.org/officeDocument/2006/relationships/hyperlink" Target="https://login.consultant.ru/link/?req=doc&amp;base=RLAW080&amp;n=156264&amp;date=02.03.2026&amp;dst=100015&amp;field=134" TargetMode = "External"/><Relationship Id="rId53" Type="http://schemas.openxmlformats.org/officeDocument/2006/relationships/hyperlink" Target="https://login.consultant.ru/link/?req=doc&amp;base=RLAW080&amp;n=156264&amp;date=02.03.2026&amp;dst=100006&amp;field=134" TargetMode = "External"/><Relationship Id="rId54" Type="http://schemas.openxmlformats.org/officeDocument/2006/relationships/hyperlink" Target="https://login.consultant.ru/link/?req=doc&amp;base=RLAW080&amp;n=156264&amp;date=02.03.2026&amp;dst=100015&amp;field=134" TargetMode = "External"/><Relationship Id="rId55" Type="http://schemas.openxmlformats.org/officeDocument/2006/relationships/hyperlink" Target="https://login.consultant.ru/link/?req=doc&amp;base=RLAW080&amp;n=116931&amp;date=02.03.2026&amp;dst=100010&amp;field=134" TargetMode = "External"/><Relationship Id="rId56" Type="http://schemas.openxmlformats.org/officeDocument/2006/relationships/hyperlink" Target="https://login.consultant.ru/link/?req=doc&amp;base=RLAW080&amp;n=116931&amp;date=02.03.2026&amp;dst=100006&amp;field=134" TargetMode = "External"/><Relationship Id="rId57" Type="http://schemas.openxmlformats.org/officeDocument/2006/relationships/hyperlink" Target="https://login.consultant.ru/link/?req=doc&amp;base=RLAW080&amp;n=116931&amp;date=02.03.2026&amp;dst=100010&amp;field=134" TargetMode = "External"/><Relationship Id="rId58" Type="http://schemas.openxmlformats.org/officeDocument/2006/relationships/hyperlink" Target="https://login.consultant.ru/link/?req=doc&amp;base=LAW&amp;n=495710&amp;date=02.03.2026&amp;dst=3600&amp;field=134" TargetMode = "External"/><Relationship Id="rId59" Type="http://schemas.openxmlformats.org/officeDocument/2006/relationships/hyperlink" Target="https://login.consultant.ru/link/?req=doc&amp;base=RLAW080&amp;n=86100&amp;date=02.03.2026&amp;dst=100005&amp;field=134" TargetMode = "External"/><Relationship Id="rId60" Type="http://schemas.openxmlformats.org/officeDocument/2006/relationships/hyperlink" Target="https://login.consultant.ru/link/?req=doc&amp;base=RLAW080&amp;n=90857&amp;date=02.03.2026&amp;dst=100014&amp;field=134" TargetMode = "External"/><Relationship Id="rId61" Type="http://schemas.openxmlformats.org/officeDocument/2006/relationships/hyperlink" Target="https://login.consultant.ru/link/?req=doc&amp;base=RLAW080&amp;n=98923&amp;date=02.03.2026&amp;dst=100005&amp;field=134" TargetMode = "External"/><Relationship Id="rId62" Type="http://schemas.openxmlformats.org/officeDocument/2006/relationships/hyperlink" Target="https://login.consultant.ru/link/?req=doc&amp;base=RLAW080&amp;n=106148&amp;date=02.03.2026&amp;dst=100010&amp;field=134" TargetMode = "External"/><Relationship Id="rId63" Type="http://schemas.openxmlformats.org/officeDocument/2006/relationships/hyperlink" Target="https://login.consultant.ru/link/?req=doc&amp;base=RLAW080&amp;n=116931&amp;date=02.03.2026&amp;dst=100011&amp;field=134" TargetMode = "External"/><Relationship Id="rId64" Type="http://schemas.openxmlformats.org/officeDocument/2006/relationships/hyperlink" Target="https://login.consultant.ru/link/?req=doc&amp;base=RLAW080&amp;n=119602&amp;date=02.03.2026&amp;dst=100005&amp;field=134" TargetMode = "External"/><Relationship Id="rId65" Type="http://schemas.openxmlformats.org/officeDocument/2006/relationships/hyperlink" Target="https://login.consultant.ru/link/?req=doc&amp;base=RLAW080&amp;n=126273&amp;date=02.03.2026&amp;dst=100011&amp;field=134" TargetMode = "External"/><Relationship Id="rId66" Type="http://schemas.openxmlformats.org/officeDocument/2006/relationships/hyperlink" Target="https://login.consultant.ru/link/?req=doc&amp;base=RLAW080&amp;n=135447&amp;date=02.03.2026&amp;dst=100005&amp;field=134" TargetMode = "External"/><Relationship Id="rId67" Type="http://schemas.openxmlformats.org/officeDocument/2006/relationships/hyperlink" Target="https://login.consultant.ru/link/?req=doc&amp;base=RLAW080&amp;n=150112&amp;date=02.03.2026&amp;dst=100005&amp;field=134" TargetMode = "External"/><Relationship Id="rId68" Type="http://schemas.openxmlformats.org/officeDocument/2006/relationships/hyperlink" Target="https://login.consultant.ru/link/?req=doc&amp;base=RLAW080&amp;n=156264&amp;date=02.03.2026&amp;dst=100016&amp;field=134" TargetMode = "External"/><Relationship Id="rId69" Type="http://schemas.openxmlformats.org/officeDocument/2006/relationships/hyperlink" Target="https://login.consultant.ru/link/?req=doc&amp;base=RLAW080&amp;n=159989&amp;date=02.03.2026&amp;dst=100005&amp;field=134" TargetMode = "External"/><Relationship Id="rId70" Type="http://schemas.openxmlformats.org/officeDocument/2006/relationships/hyperlink" Target="https://login.consultant.ru/link/?req=doc&amp;base=RLAW080&amp;n=165118&amp;date=02.03.2026&amp;dst=100005&amp;field=134" TargetMode = "External"/><Relationship Id="rId71" Type="http://schemas.openxmlformats.org/officeDocument/2006/relationships/hyperlink" Target="https://login.consultant.ru/link/?req=doc&amp;base=RLAW080&amp;n=116931&amp;date=02.03.2026&amp;dst=100012&amp;field=134" TargetMode = "External"/><Relationship Id="rId72" Type="http://schemas.openxmlformats.org/officeDocument/2006/relationships/hyperlink" Target="https://login.consultant.ru/link/?req=doc&amp;base=RLAW080&amp;n=116931&amp;date=02.03.2026&amp;dst=100006&amp;field=134" TargetMode = "External"/><Relationship Id="rId73" Type="http://schemas.openxmlformats.org/officeDocument/2006/relationships/hyperlink" Target="https://login.consultant.ru/link/?req=doc&amp;base=RLAW080&amp;n=90857&amp;date=02.03.2026&amp;dst=100015&amp;field=134" TargetMode = "External"/><Relationship Id="rId74" Type="http://schemas.openxmlformats.org/officeDocument/2006/relationships/hyperlink" Target="https://login.consultant.ru/link/?req=doc&amp;base=RLAW080&amp;n=106148&amp;date=02.03.2026&amp;dst=100010&amp;field=134" TargetMode = "External"/><Relationship Id="rId75" Type="http://schemas.openxmlformats.org/officeDocument/2006/relationships/hyperlink" Target="https://login.consultant.ru/link/?req=doc&amp;base=RLAW080&amp;n=116931&amp;date=02.03.2026&amp;dst=100012&amp;field=134" TargetMode = "External"/><Relationship Id="rId76" Type="http://schemas.openxmlformats.org/officeDocument/2006/relationships/hyperlink" Target="https://login.consultant.ru/link/?req=doc&amp;base=RLAW080&amp;n=126273&amp;date=02.03.2026&amp;dst=100011&amp;field=134" TargetMode = "External"/><Relationship Id="rId77" Type="http://schemas.openxmlformats.org/officeDocument/2006/relationships/hyperlink" Target="https://login.consultant.ru/link/?req=doc&amp;base=RLAW080&amp;n=135447&amp;date=02.03.2026&amp;dst=100005&amp;field=134" TargetMode = "External"/><Relationship Id="rId78" Type="http://schemas.openxmlformats.org/officeDocument/2006/relationships/hyperlink" Target="https://login.consultant.ru/link/?req=doc&amp;base=RLAW080&amp;n=98923&amp;date=02.03.2026&amp;dst=100010&amp;field=134" TargetMode = "External"/><Relationship Id="rId79" Type="http://schemas.openxmlformats.org/officeDocument/2006/relationships/hyperlink" Target="https://login.consultant.ru/link/?req=doc&amp;base=RLAW080&amp;n=116931&amp;date=02.03.2026&amp;dst=100013&amp;field=134" TargetMode = "External"/><Relationship Id="rId80" Type="http://schemas.openxmlformats.org/officeDocument/2006/relationships/hyperlink" Target="https://login.consultant.ru/link/?req=doc&amp;base=RLAW080&amp;n=116931&amp;date=02.03.2026&amp;dst=100006&amp;field=134" TargetMode = "External"/><Relationship Id="rId81" Type="http://schemas.openxmlformats.org/officeDocument/2006/relationships/hyperlink" Target="https://login.consultant.ru/link/?req=doc&amp;base=RLAW080&amp;n=116931&amp;date=02.03.2026&amp;dst=100013&amp;field=134" TargetMode = "External"/><Relationship Id="rId82" Type="http://schemas.openxmlformats.org/officeDocument/2006/relationships/hyperlink" Target="https://login.consultant.ru/link/?req=doc&amp;base=RLAW080&amp;n=116931&amp;date=02.03.2026&amp;dst=100015&amp;field=134" TargetMode = "External"/><Relationship Id="rId83" Type="http://schemas.openxmlformats.org/officeDocument/2006/relationships/hyperlink" Target="https://login.consultant.ru/link/?req=doc&amp;base=RLAW080&amp;n=116931&amp;date=02.03.2026&amp;dst=100016&amp;field=134" TargetMode = "External"/><Relationship Id="rId84" Type="http://schemas.openxmlformats.org/officeDocument/2006/relationships/hyperlink" Target="https://login.consultant.ru/link/?req=doc&amp;base=RLAW080&amp;n=116931&amp;date=02.03.2026&amp;dst=100017&amp;field=134" TargetMode = "External"/><Relationship Id="rId85" Type="http://schemas.openxmlformats.org/officeDocument/2006/relationships/hyperlink" Target="https://login.consultant.ru/link/?req=doc&amp;base=RLAW080&amp;n=116931&amp;date=02.03.2026&amp;dst=100018&amp;field=134" TargetMode = "External"/><Relationship Id="rId86" Type="http://schemas.openxmlformats.org/officeDocument/2006/relationships/hyperlink" Target="https://login.consultant.ru/link/?req=doc&amp;base=RLAW080&amp;n=116931&amp;date=02.03.2026&amp;dst=100019&amp;field=134" TargetMode = "External"/><Relationship Id="rId87" Type="http://schemas.openxmlformats.org/officeDocument/2006/relationships/hyperlink" Target="https://login.consultant.ru/link/?req=doc&amp;base=RLAW080&amp;n=116931&amp;date=02.03.2026&amp;dst=100020&amp;field=134" TargetMode = "External"/><Relationship Id="rId88" Type="http://schemas.openxmlformats.org/officeDocument/2006/relationships/hyperlink" Target="https://login.consultant.ru/link/?req=doc&amp;base=RLAW080&amp;n=156264&amp;date=02.03.2026&amp;dst=100017&amp;field=134" TargetMode = "External"/><Relationship Id="rId89" Type="http://schemas.openxmlformats.org/officeDocument/2006/relationships/hyperlink" Target="https://login.consultant.ru/link/?req=doc&amp;base=RLAW080&amp;n=156264&amp;date=02.03.2026&amp;dst=100006&amp;field=134" TargetMode = "External"/><Relationship Id="rId90" Type="http://schemas.openxmlformats.org/officeDocument/2006/relationships/hyperlink" Target="https://login.consultant.ru/link/?req=doc&amp;base=RLAW080&amp;n=156264&amp;date=02.03.2026&amp;dst=100017&amp;field=134" TargetMode = "External"/><Relationship Id="rId91" Type="http://schemas.openxmlformats.org/officeDocument/2006/relationships/hyperlink" Target="https://login.consultant.ru/link/?req=doc&amp;base=RLAW080&amp;n=156264&amp;date=02.03.2026&amp;dst=100020&amp;field=134" TargetMode = "External"/><Relationship Id="rId92" Type="http://schemas.openxmlformats.org/officeDocument/2006/relationships/hyperlink" Target="www.bus.gov.ru" TargetMode = "External"/><Relationship Id="rId93" Type="http://schemas.openxmlformats.org/officeDocument/2006/relationships/hyperlink" Target="https://login.consultant.ru/link/?req=doc&amp;base=RLAW080&amp;n=90857&amp;date=02.03.2026&amp;dst=100018&amp;field=134" TargetMode = "External"/><Relationship Id="rId94" Type="http://schemas.openxmlformats.org/officeDocument/2006/relationships/hyperlink" Target="https://login.consultant.ru/link/?req=doc&amp;base=RLAW080&amp;n=159989&amp;date=02.03.2026&amp;dst=100006&amp;field=134" TargetMode = "External"/><Relationship Id="rId95" Type="http://schemas.openxmlformats.org/officeDocument/2006/relationships/hyperlink" Target="https://login.consultant.ru/link/?req=doc&amp;base=RLAW080&amp;n=156264&amp;date=02.03.2026&amp;dst=100021&amp;field=134" TargetMode = "External"/><Relationship Id="rId96" Type="http://schemas.openxmlformats.org/officeDocument/2006/relationships/hyperlink" Target="https://login.consultant.ru/link/?req=doc&amp;base=RLAW080&amp;n=156264&amp;date=02.03.2026&amp;dst=100006&amp;field=134" TargetMode = "External"/><Relationship Id="rId97" Type="http://schemas.openxmlformats.org/officeDocument/2006/relationships/hyperlink" Target="https://login.consultant.ru/link/?req=doc&amp;base=RLAW080&amp;n=156264&amp;date=02.03.2026&amp;dst=100021&amp;field=134" TargetMode = "External"/><Relationship Id="rId98" Type="http://schemas.openxmlformats.org/officeDocument/2006/relationships/hyperlink" Target="https://login.consultant.ru/link/?req=doc&amp;base=RLAW080&amp;n=116931&amp;date=02.03.2026&amp;dst=100021&amp;field=134" TargetMode = "External"/><Relationship Id="rId99" Type="http://schemas.openxmlformats.org/officeDocument/2006/relationships/hyperlink" Target="https://login.consultant.ru/link/?req=doc&amp;base=RLAW080&amp;n=116931&amp;date=02.03.2026&amp;dst=100006&amp;field=134" TargetMode = "External"/><Relationship Id="rId100" Type="http://schemas.openxmlformats.org/officeDocument/2006/relationships/image" Target="media/image2.wmf"/><Relationship Id="rId101" Type="http://schemas.openxmlformats.org/officeDocument/2006/relationships/hyperlink" Target="https://login.consultant.ru/link/?req=doc&amp;base=RLAW080&amp;n=116931&amp;date=02.03.2026&amp;dst=100021&amp;field=134" TargetMode = "External"/><Relationship Id="rId102" Type="http://schemas.openxmlformats.org/officeDocument/2006/relationships/hyperlink" Target="https://login.consultant.ru/link/?req=doc&amp;base=RLAW080&amp;n=116931&amp;date=02.03.2026&amp;dst=100032&amp;field=134" TargetMode = "External"/><Relationship Id="rId103" Type="http://schemas.openxmlformats.org/officeDocument/2006/relationships/hyperlink" Target="https://login.consultant.ru/link/?req=doc&amp;base=RLAW080&amp;n=116931&amp;date=02.03.2026&amp;dst=100006&amp;field=134" TargetMode = "External"/><Relationship Id="rId104" Type="http://schemas.openxmlformats.org/officeDocument/2006/relationships/hyperlink" Target="https://login.consultant.ru/link/?req=doc&amp;base=RLAW080&amp;n=116931&amp;date=02.03.2026&amp;dst=100032&amp;field=134" TargetMode = "External"/><Relationship Id="rId105" Type="http://schemas.openxmlformats.org/officeDocument/2006/relationships/hyperlink" Target="https://login.consultant.ru/link/?req=doc&amp;base=RLAW080&amp;n=106148&amp;date=02.03.2026&amp;dst=100011&amp;field=134" TargetMode = "External"/><Relationship Id="rId106" Type="http://schemas.openxmlformats.org/officeDocument/2006/relationships/hyperlink" Target="https://login.consultant.ru/link/?req=doc&amp;base=RLAW080&amp;n=90857&amp;date=02.03.2026&amp;dst=100025&amp;field=134" TargetMode = "External"/><Relationship Id="rId107" Type="http://schemas.openxmlformats.org/officeDocument/2006/relationships/hyperlink" Target="https://login.consultant.ru/link/?req=doc&amp;base=RLAW080&amp;n=150112&amp;date=02.03.2026&amp;dst=100006&amp;field=134" TargetMode = "External"/><Relationship Id="rId108" Type="http://schemas.openxmlformats.org/officeDocument/2006/relationships/hyperlink" Target="https://login.consultant.ru/link/?req=doc&amp;base=RLAW080&amp;n=90857&amp;date=02.03.2026&amp;dst=100007&amp;field=134" TargetMode = "External"/><Relationship Id="rId109" Type="http://schemas.openxmlformats.org/officeDocument/2006/relationships/hyperlink" Target="https://login.consultant.ru/link/?req=doc&amp;base=RLAW080&amp;n=90857&amp;date=02.03.2026&amp;dst=100007&amp;field=134" TargetMode = "External"/><Relationship Id="rId110" Type="http://schemas.openxmlformats.org/officeDocument/2006/relationships/hyperlink" Target="https://login.consultant.ru/link/?req=doc&amp;base=RLAW080&amp;n=90857&amp;date=02.03.2026&amp;dst=100026&amp;field=134" TargetMode = "External"/><Relationship Id="rId111" Type="http://schemas.openxmlformats.org/officeDocument/2006/relationships/hyperlink" Target="https://login.consultant.ru/link/?req=doc&amp;base=RLAW080&amp;n=156264&amp;date=02.03.2026&amp;dst=100023&amp;field=134" TargetMode = "External"/><Relationship Id="rId112" Type="http://schemas.openxmlformats.org/officeDocument/2006/relationships/hyperlink" Target="https://login.consultant.ru/link/?req=doc&amp;base=RLAW080&amp;n=156264&amp;date=02.03.2026&amp;dst=100006&amp;field=134" TargetMode = "External"/><Relationship Id="rId113" Type="http://schemas.openxmlformats.org/officeDocument/2006/relationships/hyperlink" Target="https://login.consultant.ru/link/?req=doc&amp;base=RLAW080&amp;n=156264&amp;date=02.03.2026&amp;dst=100023&amp;field=134" TargetMode = "External"/><Relationship Id="rId114" Type="http://schemas.openxmlformats.org/officeDocument/2006/relationships/hyperlink" Target="https://login.consultant.ru/link/?req=doc&amp;base=RLAW080&amp;n=90857&amp;date=02.03.2026&amp;dst=100031&amp;field=134" TargetMode = "External"/><Relationship Id="rId115" Type="http://schemas.openxmlformats.org/officeDocument/2006/relationships/hyperlink" Target="https://login.consultant.ru/link/?req=doc&amp;base=RLAW080&amp;n=90857&amp;date=02.03.2026&amp;dst=100032&amp;field=134" TargetMode = "External"/><Relationship Id="rId116" Type="http://schemas.openxmlformats.org/officeDocument/2006/relationships/hyperlink" Target="https://login.consultant.ru/link/?req=doc&amp;base=RLAW080&amp;n=156264&amp;date=02.03.2026&amp;dst=100024&amp;field=134" TargetMode = "External"/><Relationship Id="rId117" Type="http://schemas.openxmlformats.org/officeDocument/2006/relationships/hyperlink" Target="https://login.consultant.ru/link/?req=doc&amp;base=RLAW080&amp;n=156264&amp;date=02.03.2026&amp;dst=100006&amp;field=134" TargetMode = "External"/><Relationship Id="rId118" Type="http://schemas.openxmlformats.org/officeDocument/2006/relationships/hyperlink" Target="https://login.consultant.ru/link/?req=doc&amp;base=RLAW080&amp;n=156264&amp;date=02.03.2026&amp;dst=100024&amp;field=134" TargetMode = "External"/><Relationship Id="rId119" Type="http://schemas.openxmlformats.org/officeDocument/2006/relationships/hyperlink" Target="https://login.consultant.ru/link/?req=doc&amp;base=RLAW080&amp;n=90857&amp;date=02.03.2026&amp;dst=100035&amp;field=134" TargetMode = "External"/><Relationship Id="rId120" Type="http://schemas.openxmlformats.org/officeDocument/2006/relationships/hyperlink" Target="https://login.consultant.ru/link/?req=doc&amp;base=RLAW080&amp;n=156264&amp;date=02.03.2026&amp;dst=100025&amp;field=134" TargetMode = "External"/><Relationship Id="rId121" Type="http://schemas.openxmlformats.org/officeDocument/2006/relationships/hyperlink" Target="https://login.consultant.ru/link/?req=doc&amp;base=RLAW080&amp;n=156264&amp;date=02.03.2026&amp;dst=100006&amp;field=134" TargetMode = "External"/><Relationship Id="rId122" Type="http://schemas.openxmlformats.org/officeDocument/2006/relationships/hyperlink" Target="https://login.consultant.ru/link/?req=doc&amp;base=RLAW080&amp;n=156264&amp;date=02.03.2026&amp;dst=100025&amp;field=134" TargetMode = "External"/><Relationship Id="rId123" Type="http://schemas.openxmlformats.org/officeDocument/2006/relationships/hyperlink" Target="https://login.consultant.ru/link/?req=doc&amp;base=RLAW080&amp;n=106148&amp;date=02.03.2026&amp;dst=100017&amp;field=134" TargetMode = "External"/><Relationship Id="rId124" Type="http://schemas.openxmlformats.org/officeDocument/2006/relationships/hyperlink" Target="https://login.consultant.ru/link/?req=doc&amp;base=RLAW080&amp;n=90857&amp;date=02.03.2026&amp;dst=100037&amp;field=134" TargetMode = "External"/><Relationship Id="rId125" Type="http://schemas.openxmlformats.org/officeDocument/2006/relationships/hyperlink" Target="https://login.consultant.ru/link/?req=doc&amp;base=RLAW080&amp;n=156264&amp;date=02.03.2026&amp;dst=100026&amp;field=134" TargetMode = "External"/><Relationship Id="rId126" Type="http://schemas.openxmlformats.org/officeDocument/2006/relationships/hyperlink" Target="https://login.consultant.ru/link/?req=doc&amp;base=RLAW080&amp;n=156264&amp;date=02.03.2026&amp;dst=100006&amp;field=134" TargetMode = "External"/><Relationship Id="rId127" Type="http://schemas.openxmlformats.org/officeDocument/2006/relationships/hyperlink" Target="https://login.consultant.ru/link/?req=doc&amp;base=RLAW080&amp;n=156264&amp;date=02.03.2026&amp;dst=100026&amp;field=134" TargetMode = "External"/><Relationship Id="rId128" Type="http://schemas.openxmlformats.org/officeDocument/2006/relationships/hyperlink" Target="https://login.consultant.ru/link/?req=doc&amp;base=RLAW080&amp;n=156264&amp;date=02.03.2026&amp;dst=100026&amp;field=134" TargetMode = "External"/><Relationship Id="rId129" Type="http://schemas.openxmlformats.org/officeDocument/2006/relationships/hyperlink" Target="https://login.consultant.ru/link/?req=doc&amp;base=RLAW080&amp;n=156264&amp;date=02.03.2026&amp;dst=100006&amp;field=134" TargetMode = "External"/><Relationship Id="rId130" Type="http://schemas.openxmlformats.org/officeDocument/2006/relationships/hyperlink" Target="https://login.consultant.ru/link/?req=doc&amp;base=RLAW080&amp;n=156264&amp;date=02.03.2026&amp;dst=100029&amp;field=134" TargetMode = "External"/><Relationship Id="rId131" Type="http://schemas.openxmlformats.org/officeDocument/2006/relationships/hyperlink" Target="https://login.consultant.ru/link/?req=doc&amp;base=RLAW080&amp;n=116931&amp;date=02.03.2026&amp;dst=100036&amp;field=134" TargetMode = "External"/><Relationship Id="rId132" Type="http://schemas.openxmlformats.org/officeDocument/2006/relationships/hyperlink" Target="https://login.consultant.ru/link/?req=doc&amp;base=RLAW080&amp;n=116931&amp;date=02.03.2026&amp;dst=100006&amp;field=134" TargetMode = "External"/><Relationship Id="rId133" Type="http://schemas.openxmlformats.org/officeDocument/2006/relationships/hyperlink" Target="https://login.consultant.ru/link/?req=doc&amp;base=RLAW080&amp;n=116931&amp;date=02.03.2026&amp;dst=100036&amp;field=134" TargetMode = "External"/><Relationship Id="rId134" Type="http://schemas.openxmlformats.org/officeDocument/2006/relationships/hyperlink" Target="https://login.consultant.ru/link/?req=doc&amp;base=RLAW080&amp;n=156264&amp;date=02.03.2026&amp;dst=100030&amp;field=134" TargetMode = "External"/><Relationship Id="rId135" Type="http://schemas.openxmlformats.org/officeDocument/2006/relationships/hyperlink" Target="https://login.consultant.ru/link/?req=doc&amp;base=RLAW080&amp;n=156264&amp;date=02.03.2026&amp;dst=100031&amp;field=134" TargetMode = "External"/><Relationship Id="rId136" Type="http://schemas.openxmlformats.org/officeDocument/2006/relationships/hyperlink" Target="https://login.consultant.ru/link/?req=doc&amp;base=RLAW080&amp;n=156264&amp;date=02.03.2026&amp;dst=100006&amp;field=134" TargetMode = "External"/><Relationship Id="rId137" Type="http://schemas.openxmlformats.org/officeDocument/2006/relationships/hyperlink" Target="https://login.consultant.ru/link/?req=doc&amp;base=RLAW080&amp;n=156264&amp;date=02.03.2026&amp;dst=100031&amp;field=134" TargetMode = "External"/><Relationship Id="rId138" Type="http://schemas.openxmlformats.org/officeDocument/2006/relationships/hyperlink" Target="https://login.consultant.ru/link/?req=doc&amp;base=RLAW080&amp;n=90857&amp;date=02.03.2026&amp;dst=100042&amp;field=134" TargetMode = "External"/><Relationship Id="rId139" Type="http://schemas.openxmlformats.org/officeDocument/2006/relationships/hyperlink" Target="https://login.consultant.ru/link/?req=doc&amp;base=RLAW080&amp;n=90857&amp;date=02.03.2026&amp;dst=100007&amp;field=134" TargetMode = "External"/><Relationship Id="rId140" Type="http://schemas.openxmlformats.org/officeDocument/2006/relationships/hyperlink" Target="https://login.consultant.ru/link/?req=doc&amp;base=RLAW080&amp;n=90857&amp;date=02.03.2026&amp;dst=100007&amp;field=134" TargetMode = "External"/><Relationship Id="rId141" Type="http://schemas.openxmlformats.org/officeDocument/2006/relationships/hyperlink" Target="https://login.consultant.ru/link/?req=doc&amp;base=RLAW080&amp;n=90857&amp;date=02.03.2026&amp;dst=100044&amp;field=134" TargetMode = "External"/><Relationship Id="rId142" Type="http://schemas.openxmlformats.org/officeDocument/2006/relationships/hyperlink" Target="https://login.consultant.ru/link/?req=doc&amp;base=RLAW080&amp;n=156264&amp;date=02.03.2026&amp;dst=100034&amp;field=134" TargetMode = "External"/><Relationship Id="rId143" Type="http://schemas.openxmlformats.org/officeDocument/2006/relationships/hyperlink" Target="https://login.consultant.ru/link/?req=doc&amp;base=RLAW080&amp;n=156264&amp;date=02.03.2026&amp;dst=100006&amp;field=134" TargetMode = "External"/><Relationship Id="rId144" Type="http://schemas.openxmlformats.org/officeDocument/2006/relationships/hyperlink" Target="https://login.consultant.ru/link/?req=doc&amp;base=RLAW080&amp;n=156264&amp;date=02.03.2026&amp;dst=100034&amp;field=134" TargetMode = "External"/><Relationship Id="rId145" Type="http://schemas.openxmlformats.org/officeDocument/2006/relationships/hyperlink" Target="https://login.consultant.ru/link/?req=doc&amp;base=RLAW080&amp;n=90857&amp;date=02.03.2026&amp;dst=100047&amp;field=134" TargetMode = "External"/><Relationship Id="rId146" Type="http://schemas.openxmlformats.org/officeDocument/2006/relationships/hyperlink" Target="https://login.consultant.ru/link/?req=doc&amp;base=RLAW080&amp;n=90857&amp;date=02.03.2026&amp;dst=100048&amp;field=134" TargetMode = "External"/><Relationship Id="rId147" Type="http://schemas.openxmlformats.org/officeDocument/2006/relationships/hyperlink" Target="https://login.consultant.ru/link/?req=doc&amp;base=RLAW080&amp;n=156264&amp;date=02.03.2026&amp;dst=100035&amp;field=134" TargetMode = "External"/><Relationship Id="rId148" Type="http://schemas.openxmlformats.org/officeDocument/2006/relationships/hyperlink" Target="https://login.consultant.ru/link/?req=doc&amp;base=RLAW080&amp;n=156264&amp;date=02.03.2026&amp;dst=100006&amp;field=134" TargetMode = "External"/><Relationship Id="rId149" Type="http://schemas.openxmlformats.org/officeDocument/2006/relationships/hyperlink" Target="https://login.consultant.ru/link/?req=doc&amp;base=RLAW080&amp;n=156264&amp;date=02.03.2026&amp;dst=100035&amp;field=134" TargetMode = "External"/><Relationship Id="rId150" Type="http://schemas.openxmlformats.org/officeDocument/2006/relationships/hyperlink" Target="https://login.consultant.ru/link/?req=doc&amp;base=RLAW080&amp;n=90857&amp;date=02.03.2026&amp;dst=100051&amp;field=134" TargetMode = "External"/><Relationship Id="rId151" Type="http://schemas.openxmlformats.org/officeDocument/2006/relationships/hyperlink" Target="https://login.consultant.ru/link/?req=doc&amp;base=RLAW080&amp;n=156264&amp;date=02.03.2026&amp;dst=100036&amp;field=134" TargetMode = "External"/><Relationship Id="rId152" Type="http://schemas.openxmlformats.org/officeDocument/2006/relationships/hyperlink" Target="https://login.consultant.ru/link/?req=doc&amp;base=RLAW080&amp;n=156264&amp;date=02.03.2026&amp;dst=100006&amp;field=134" TargetMode = "External"/><Relationship Id="rId153" Type="http://schemas.openxmlformats.org/officeDocument/2006/relationships/hyperlink" Target="https://login.consultant.ru/link/?req=doc&amp;base=RLAW080&amp;n=156264&amp;date=02.03.2026&amp;dst=100036&amp;field=134" TargetMode = "External"/><Relationship Id="rId154" Type="http://schemas.openxmlformats.org/officeDocument/2006/relationships/hyperlink" Target="https://login.consultant.ru/link/?req=doc&amp;base=RLAW080&amp;n=156264&amp;date=02.03.2026&amp;dst=100037&amp;field=134" TargetMode = "External"/><Relationship Id="rId155" Type="http://schemas.openxmlformats.org/officeDocument/2006/relationships/hyperlink" Target="https://login.consultant.ru/link/?req=doc&amp;base=RLAW080&amp;n=156264&amp;date=02.03.2026&amp;dst=100006&amp;field=134" TargetMode = "External"/><Relationship Id="rId156" Type="http://schemas.openxmlformats.org/officeDocument/2006/relationships/hyperlink" Target="https://login.consultant.ru/link/?req=doc&amp;base=RLAW080&amp;n=156264&amp;date=02.03.2026&amp;dst=100037&amp;field=134" TargetMode = "External"/><Relationship Id="rId157" Type="http://schemas.openxmlformats.org/officeDocument/2006/relationships/hyperlink" Target="https://login.consultant.ru/link/?req=doc&amp;base=RLAW080&amp;n=106148&amp;date=02.03.2026&amp;dst=100019&amp;field=134" TargetMode = "External"/><Relationship Id="rId158" Type="http://schemas.openxmlformats.org/officeDocument/2006/relationships/hyperlink" Target="https://login.consultant.ru/link/?req=doc&amp;base=RLAW080&amp;n=106148&amp;date=02.03.2026&amp;dst=100022&amp;field=134" TargetMode = "External"/><Relationship Id="rId159" Type="http://schemas.openxmlformats.org/officeDocument/2006/relationships/hyperlink" Target="https://login.consultant.ru/link/?req=doc&amp;base=RLAW080&amp;n=116931&amp;date=02.03.2026&amp;dst=100042&amp;field=134" TargetMode = "External"/><Relationship Id="rId160" Type="http://schemas.openxmlformats.org/officeDocument/2006/relationships/hyperlink" Target="https://login.consultant.ru/link/?req=doc&amp;base=RLAW080&amp;n=116931&amp;date=02.03.2026&amp;dst=100006&amp;field=134" TargetMode = "External"/><Relationship Id="rId161" Type="http://schemas.openxmlformats.org/officeDocument/2006/relationships/hyperlink" Target="https://login.consultant.ru/link/?req=doc&amp;base=RLAW080&amp;n=116931&amp;date=02.03.2026&amp;dst=100042&amp;field=134" TargetMode = "External"/><Relationship Id="rId162" Type="http://schemas.openxmlformats.org/officeDocument/2006/relationships/hyperlink" Target="https://login.consultant.ru/link/?req=doc&amp;base=RLAW080&amp;n=156264&amp;date=02.03.2026&amp;dst=100038&amp;field=134" TargetMode = "External"/><Relationship Id="rId163" Type="http://schemas.openxmlformats.org/officeDocument/2006/relationships/hyperlink" Target="https://login.consultant.ru/link/?req=doc&amp;base=RLAW080&amp;n=156264&amp;date=02.03.2026&amp;dst=100006&amp;field=134" TargetMode = "External"/><Relationship Id="rId164" Type="http://schemas.openxmlformats.org/officeDocument/2006/relationships/image" Target="media/image3.wmf"/><Relationship Id="rId165" Type="http://schemas.openxmlformats.org/officeDocument/2006/relationships/hyperlink" Target="https://login.consultant.ru/link/?req=doc&amp;base=RLAW080&amp;n=156264&amp;date=02.03.2026&amp;dst=100038&amp;field=134" TargetMode = "External"/><Relationship Id="rId166" Type="http://schemas.openxmlformats.org/officeDocument/2006/relationships/hyperlink" Target="https://login.consultant.ru/link/?req=doc&amp;base=RLAW080&amp;n=165118&amp;date=02.03.2026&amp;dst=100006&amp;field=134" TargetMode = "External"/><Relationship Id="rId167" Type="http://schemas.openxmlformats.org/officeDocument/2006/relationships/hyperlink" Target="https://login.consultant.ru/link/?req=doc&amp;base=RLAW080&amp;n=165118&amp;date=02.03.2026&amp;dst=100008&amp;field=134" TargetMode = "External"/><Relationship Id="rId168" Type="http://schemas.openxmlformats.org/officeDocument/2006/relationships/hyperlink" Target="https://login.consultant.ru/link/?req=doc&amp;base=RLAW080&amp;n=165118&amp;date=02.03.2026&amp;dst=100009&amp;field=134" TargetMode = "External"/><Relationship Id="rId169" Type="http://schemas.openxmlformats.org/officeDocument/2006/relationships/hyperlink" Target="https://login.consultant.ru/link/?req=doc&amp;base=RLAW080&amp;n=150112&amp;date=02.03.2026&amp;dst=100007&amp;field=134" TargetMode = "External"/><Relationship Id="rId170" Type="http://schemas.openxmlformats.org/officeDocument/2006/relationships/hyperlink" Target="https://login.consultant.ru/link/?req=doc&amp;base=RLAW080&amp;n=116931&amp;date=02.03.2026&amp;dst=100006&amp;field=134" TargetMode = "External"/><Relationship Id="rId171" Type="http://schemas.openxmlformats.org/officeDocument/2006/relationships/hyperlink" Target="https://login.consultant.ru/link/?req=doc&amp;base=RLAW080&amp;n=116931&amp;date=02.03.2026&amp;dst=100050&amp;field=134" TargetMode = "External"/><Relationship Id="rId172" Type="http://schemas.openxmlformats.org/officeDocument/2006/relationships/hyperlink" Target="https://login.consultant.ru/link/?req=doc&amp;base=RLAW080&amp;n=90857&amp;date=02.03.2026&amp;dst=100062&amp;field=134" TargetMode = "External"/><Relationship Id="rId173" Type="http://schemas.openxmlformats.org/officeDocument/2006/relationships/hyperlink" Target="https://login.consultant.ru/link/?req=doc&amp;base=RLAW080&amp;n=90857&amp;date=02.03.2026&amp;dst=100064&amp;field=134" TargetMode = "External"/><Relationship Id="rId174" Type="http://schemas.openxmlformats.org/officeDocument/2006/relationships/hyperlink" Target="https://login.consultant.ru/link/?req=doc&amp;base=RLAW080&amp;n=116931&amp;date=02.03.2026&amp;dst=100057&amp;field=134" TargetMode = "External"/><Relationship Id="rId175" Type="http://schemas.openxmlformats.org/officeDocument/2006/relationships/hyperlink" Target="https://login.consultant.ru/link/?req=doc&amp;base=RLAW080&amp;n=156264&amp;date=02.03.2026&amp;dst=100044&amp;field=134" TargetMode = "External"/><Relationship Id="rId176" Type="http://schemas.openxmlformats.org/officeDocument/2006/relationships/hyperlink" Target="https://login.consultant.ru/link/?req=doc&amp;base=RLAW080&amp;n=159989&amp;date=02.03.2026&amp;dst=100007&amp;field=134" TargetMode = "External"/><Relationship Id="rId177" Type="http://schemas.openxmlformats.org/officeDocument/2006/relationships/hyperlink" Target="https://login.consultant.ru/link/?req=doc&amp;base=RLAW080&amp;n=116931&amp;date=02.03.2026&amp;dst=100057&amp;field=134" TargetMode = "External"/><Relationship Id="rId178" Type="http://schemas.openxmlformats.org/officeDocument/2006/relationships/hyperlink" Target="https://login.consultant.ru/link/?req=doc&amp;base=RLAW080&amp;n=116931&amp;date=02.03.2026&amp;dst=100006&amp;field=134" TargetMode = "External"/><Relationship Id="rId179" Type="http://schemas.openxmlformats.org/officeDocument/2006/relationships/header" Target="header2.xml"/><Relationship Id="rId180" Type="http://schemas.openxmlformats.org/officeDocument/2006/relationships/footer" Target="footer2.xml"/><Relationship Id="rId181" Type="http://schemas.openxmlformats.org/officeDocument/2006/relationships/hyperlink" Target="https://login.consultant.ru/link/?req=doc&amp;base=LAW&amp;n=495935&amp;date=02.03.2026" TargetMode = "External"/><Relationship Id="rId182" Type="http://schemas.openxmlformats.org/officeDocument/2006/relationships/hyperlink" Target="https://login.consultant.ru/link/?req=doc&amp;base=LAW&amp;n=495935&amp;date=02.03.2026" TargetMode = "External"/><Relationship Id="rId183" Type="http://schemas.openxmlformats.org/officeDocument/2006/relationships/hyperlink" Target="https://login.consultant.ru/link/?req=doc&amp;base=LAW&amp;n=495935&amp;date=02.03.2026" TargetMode = "External"/><Relationship Id="rId184" Type="http://schemas.openxmlformats.org/officeDocument/2006/relationships/hyperlink" Target="https://login.consultant.ru/link/?req=doc&amp;base=LAW&amp;n=495935&amp;date=02.03.2026" TargetMode = "External"/><Relationship Id="rId185" Type="http://schemas.openxmlformats.org/officeDocument/2006/relationships/hyperlink" Target="www.budget.gov.ru" TargetMode = "External"/><Relationship Id="rId186" Type="http://schemas.openxmlformats.org/officeDocument/2006/relationships/hyperlink" Target="www.bus.gov.ru" TargetMode = "External"/><Relationship Id="rId187" Type="http://schemas.openxmlformats.org/officeDocument/2006/relationships/hyperlink" Target="https://login.consultant.ru/link/?req=doc&amp;base=RLAW080&amp;n=159989&amp;date=02.03.2026&amp;dst=100014&amp;field=134" TargetMode = "External"/><Relationship Id="rId188" Type="http://schemas.openxmlformats.org/officeDocument/2006/relationships/hyperlink" Target="https://login.consultant.ru/link/?req=doc&amp;base=RLAW080&amp;n=116931&amp;date=02.03.2026&amp;dst=100058&amp;field=134" TargetMode = "External"/><Relationship Id="rId189" Type="http://schemas.openxmlformats.org/officeDocument/2006/relationships/hyperlink" Target="https://login.consultant.ru/link/?req=doc&amp;base=RLAW080&amp;n=159989&amp;date=02.03.2026&amp;dst=100016&amp;field=134" TargetMode = "External"/><Relationship Id="rId190" Type="http://schemas.openxmlformats.org/officeDocument/2006/relationships/hyperlink" Target="https://login.consultant.ru/link/?req=doc&amp;base=RLAW080&amp;n=116931&amp;date=02.03.2026&amp;dst=100058&amp;field=134" TargetMode = "External"/><Relationship Id="rId191" Type="http://schemas.openxmlformats.org/officeDocument/2006/relationships/hyperlink" Target="https://login.consultant.ru/link/?req=doc&amp;base=RLAW080&amp;n=116931&amp;date=02.03.2026&amp;dst=100006&amp;field=134" TargetMode = "External"/><Relationship Id="rId192" Type="http://schemas.openxmlformats.org/officeDocument/2006/relationships/hyperlink" Target="https://login.consultant.ru/link/?req=doc&amp;base=LAW&amp;n=495935&amp;date=02.03.2026" TargetMode = "External"/><Relationship Id="rId193" Type="http://schemas.openxmlformats.org/officeDocument/2006/relationships/hyperlink" Target="https://login.consultant.ru/link/?req=doc&amp;base=LAW&amp;n=495935&amp;date=02.03.2026" TargetMode = "External"/><Relationship Id="rId194" Type="http://schemas.openxmlformats.org/officeDocument/2006/relationships/hyperlink" Target="https://login.consultant.ru/link/?req=doc&amp;base=LAW&amp;n=495935&amp;date=02.03.2026" TargetMode = "External"/><Relationship Id="rId195" Type="http://schemas.openxmlformats.org/officeDocument/2006/relationships/hyperlink" Target="https://login.consultant.ru/link/?req=doc&amp;base=LAW&amp;n=495935&amp;date=02.03.2026" TargetMode = "External"/><Relationship Id="rId196" Type="http://schemas.openxmlformats.org/officeDocument/2006/relationships/hyperlink" Target="www.budget.gov.ru" TargetMode = "External"/><Relationship Id="rId197" Type="http://schemas.openxmlformats.org/officeDocument/2006/relationships/hyperlink" Target="www.bus.gov.ru" TargetMode = "External"/><Relationship Id="rId198" Type="http://schemas.openxmlformats.org/officeDocument/2006/relationships/hyperlink" Target="https://login.consultant.ru/link/?req=doc&amp;base=RLAW080&amp;n=159989&amp;date=02.03.2026&amp;dst=100023&amp;field=134" TargetMode = "External"/><Relationship Id="rId199" Type="http://schemas.openxmlformats.org/officeDocument/2006/relationships/hyperlink" Target="https://login.consultant.ru/link/?req=doc&amp;base=RLAW080&amp;n=90857&amp;date=02.03.2026&amp;dst=100066&amp;field=134" TargetMode = "External"/><Relationship Id="rId200" Type="http://schemas.openxmlformats.org/officeDocument/2006/relationships/hyperlink" Target="https://login.consultant.ru/link/?req=doc&amp;base=RLAW080&amp;n=93635&amp;date=02.03.2026&amp;dst=100005&amp;field=134" TargetMode = "External"/><Relationship Id="rId201" Type="http://schemas.openxmlformats.org/officeDocument/2006/relationships/hyperlink" Target="https://login.consultant.ru/link/?req=doc&amp;base=RLAW080&amp;n=116931&amp;date=02.03.2026&amp;dst=100059&amp;field=134" TargetMode = "External"/><Relationship Id="rId202" Type="http://schemas.openxmlformats.org/officeDocument/2006/relationships/hyperlink" Target="https://login.consultant.ru/link/?req=doc&amp;base=RLAW080&amp;n=142626&amp;date=02.03.2026&amp;dst=100005&amp;field=134" TargetMode = "External"/><Relationship Id="rId203" Type="http://schemas.openxmlformats.org/officeDocument/2006/relationships/hyperlink" Target="https://login.consultant.ru/link/?req=doc&amp;base=RLAW080&amp;n=156264&amp;date=02.03.2026&amp;dst=100049&amp;field=134" TargetMode = "External"/><Relationship Id="rId204" Type="http://schemas.openxmlformats.org/officeDocument/2006/relationships/hyperlink" Target="https://login.consultant.ru/link/?req=doc&amp;base=RLAW080&amp;n=156264&amp;date=02.03.2026&amp;dst=100050&amp;field=134" TargetMode = "External"/><Relationship Id="rId205" Type="http://schemas.openxmlformats.org/officeDocument/2006/relationships/hyperlink" Target="https://login.consultant.ru/link/?req=doc&amp;base=RLAW080&amp;n=152720&amp;date=02.03.2026&amp;dst=100012&amp;field=134" TargetMode = "External"/><Relationship Id="rId206" Type="http://schemas.openxmlformats.org/officeDocument/2006/relationships/hyperlink" Target="https://login.consultant.ru/link/?req=doc&amp;base=RLAW080&amp;n=142626&amp;date=02.03.2026&amp;dst=100006&amp;field=134" TargetMode = "External"/><Relationship Id="rId207" Type="http://schemas.openxmlformats.org/officeDocument/2006/relationships/hyperlink" Target="https://login.consultant.ru/link/?req=doc&amp;base=RLAW080&amp;n=156264&amp;date=02.03.2026&amp;dst=100051&amp;field=134" TargetMode = "External"/><Relationship Id="rId208" Type="http://schemas.openxmlformats.org/officeDocument/2006/relationships/hyperlink" Target="https://login.consultant.ru/link/?req=doc&amp;base=RLAW080&amp;n=142626&amp;date=02.03.2026&amp;dst=100008&amp;field=134" TargetMode = "External"/><Relationship Id="rId209" Type="http://schemas.openxmlformats.org/officeDocument/2006/relationships/hyperlink" Target="https://login.consultant.ru/link/?req=doc&amp;base=RLAW080&amp;n=116931&amp;date=02.03.2026&amp;dst=100060&amp;field=134" TargetMode = "External"/><Relationship Id="rId210" Type="http://schemas.openxmlformats.org/officeDocument/2006/relationships/hyperlink" Target="https://login.consultant.ru/link/?req=doc&amp;base=RLAW080&amp;n=93635&amp;date=02.03.2026&amp;dst=100005&amp;field=134" TargetMode = "External"/><Relationship Id="rId211" Type="http://schemas.openxmlformats.org/officeDocument/2006/relationships/hyperlink" Target="https://login.consultant.ru/link/?req=doc&amp;base=RLAW080&amp;n=116931&amp;date=02.03.2026&amp;dst=100065&amp;field=134" TargetMode = "External"/><Relationship Id="rId212" Type="http://schemas.openxmlformats.org/officeDocument/2006/relationships/hyperlink" Target="https://login.consultant.ru/link/?req=doc&amp;base=RLAW080&amp;n=116931&amp;date=02.03.2026&amp;dst=100006&amp;field=134" TargetMode = "External"/><Relationship Id="rId213" Type="http://schemas.openxmlformats.org/officeDocument/2006/relationships/hyperlink" Target="https://login.consultant.ru/link/?req=doc&amp;base=RLAW080&amp;n=116931&amp;date=02.03.2026&amp;dst=100065&amp;field=134" TargetMode = "External"/><Relationship Id="rId214" Type="http://schemas.openxmlformats.org/officeDocument/2006/relationships/hyperlink" Target="https://login.consultant.ru/link/?req=doc&amp;base=RLAW080&amp;n=90857&amp;date=02.03.2026&amp;dst=100071&amp;field=134" TargetMode = "External"/><Relationship Id="rId215" Type="http://schemas.openxmlformats.org/officeDocument/2006/relationships/hyperlink" Target="https://login.consultant.ru/link/?req=doc&amp;base=RLAW080&amp;n=126273&amp;date=02.03.2026&amp;dst=100013&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foot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10.08.2015 N 384
(ред. от 26.06.2025)
"Об утверждении Положения о формировании государственного задания на оказание государственных услуг (выполнение работ) в отношении областных государственных учреждений и финансовом обеспечении выполнения государственного задания, Порядков предоставления из областного бюджета субсидий областным бюджетным и автономным учреждениям"</dc:title>
  <dcterms:created xsi:type="dcterms:W3CDTF">2026-03-02T01:05:22Z</dcterms:created>
</cp:coreProperties>
</file>