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06.02.2012 N 35</w:t>
              <w:br/>
              <w:t xml:space="preserve">(ред. от 28.12.2024)</w:t>
              <w:br/>
              <w:t xml:space="preserve">"Об утверждении Порядка предоставления пассажирским транспортным предприятиям субсидий на возмещение расходов за проезд по единым социальным проездным билетам"</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6 февраля 2012 г. N 35</w:t>
      </w:r>
    </w:p>
    <w:p>
      <w:pPr>
        <w:pStyle w:val="2"/>
        <w:jc w:val="center"/>
      </w:pPr>
      <w:r>
        <w:rPr>
          <w:sz w:val="24"/>
        </w:rPr>
      </w:r>
    </w:p>
    <w:p>
      <w:pPr>
        <w:pStyle w:val="2"/>
        <w:jc w:val="center"/>
      </w:pPr>
      <w:r>
        <w:rPr>
          <w:sz w:val="24"/>
        </w:rPr>
        <w:t xml:space="preserve">ОБ УТВЕРЖДЕНИИ ПОРЯДКА ПРЕДОСТАВЛЕНИЯ ПАССАЖИРСКИМ</w:t>
      </w:r>
    </w:p>
    <w:p>
      <w:pPr>
        <w:pStyle w:val="2"/>
        <w:jc w:val="center"/>
      </w:pPr>
      <w:r>
        <w:rPr>
          <w:sz w:val="24"/>
        </w:rPr>
        <w:t xml:space="preserve">ТРАНСПОРТНЫМ ПРЕДПРИЯТИЯМ СУБСИДИЙ НА ВОЗМЕЩЕНИЕ</w:t>
      </w:r>
    </w:p>
    <w:p>
      <w:pPr>
        <w:pStyle w:val="2"/>
        <w:jc w:val="center"/>
      </w:pPr>
      <w:r>
        <w:rPr>
          <w:sz w:val="24"/>
        </w:rPr>
        <w:t xml:space="preserve">РАСХОДОВ ЗА ПРОЕЗД ПО ЕДИНЫМ СОЦИАЛЬНЫМ</w:t>
      </w:r>
    </w:p>
    <w:p>
      <w:pPr>
        <w:pStyle w:val="2"/>
        <w:jc w:val="center"/>
      </w:pPr>
      <w:r>
        <w:rPr>
          <w:sz w:val="24"/>
        </w:rPr>
        <w:t xml:space="preserve">ПРОЕЗДНЫМ БИЛЕТАМ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09.02.2012 </w:t>
            </w:r>
            <w:hyperlink w:history="0" r:id="rId8" w:tooltip="Постановление Правительства Амурской области от 09.02.2012 N 62 &quot;О внесении изменений в некоторые постановления Правительства Амурской области&quot; {КонсультантПлюс}">
              <w:r>
                <w:rPr>
                  <w:sz w:val="24"/>
                  <w:color w:val="0000ff"/>
                </w:rPr>
                <w:t xml:space="preserve">N 62</w:t>
              </w:r>
            </w:hyperlink>
            <w:r>
              <w:rPr>
                <w:sz w:val="24"/>
                <w:color w:val="392c69"/>
              </w:rPr>
              <w:t xml:space="preserve">, от 19.03.2012 </w:t>
            </w:r>
            <w:hyperlink w:history="0" r:id="rId9" w:tooltip="Постановление Правительства Амурской области от 19.03.2012 N 128 &quot;О внесении изменений в некоторые постановления Правительства Амурской области&quot; {КонсультантПлюс}">
              <w:r>
                <w:rPr>
                  <w:sz w:val="24"/>
                  <w:color w:val="0000ff"/>
                </w:rPr>
                <w:t xml:space="preserve">N 128</w:t>
              </w:r>
            </w:hyperlink>
            <w:r>
              <w:rPr>
                <w:sz w:val="24"/>
                <w:color w:val="392c69"/>
              </w:rPr>
              <w:t xml:space="preserve">,</w:t>
            </w:r>
          </w:p>
          <w:p>
            <w:pPr>
              <w:pStyle w:val="0"/>
              <w:jc w:val="center"/>
            </w:pPr>
            <w:r>
              <w:rPr>
                <w:sz w:val="24"/>
                <w:color w:val="392c69"/>
              </w:rPr>
              <w:t xml:space="preserve">от 24.04.2012 </w:t>
            </w:r>
            <w:hyperlink w:history="0" r:id="rId10" w:tooltip="Постановление Правительства Амурской области от 24.04.2012 N 229 &quot;О внесении изменений в некоторые постановления Правительства Амурской области&quot; {КонсультантПлюс}">
              <w:r>
                <w:rPr>
                  <w:sz w:val="24"/>
                  <w:color w:val="0000ff"/>
                </w:rPr>
                <w:t xml:space="preserve">N 229</w:t>
              </w:r>
            </w:hyperlink>
            <w:r>
              <w:rPr>
                <w:sz w:val="24"/>
                <w:color w:val="392c69"/>
              </w:rPr>
              <w:t xml:space="preserve">, от 08.04.2013 </w:t>
            </w:r>
            <w:hyperlink w:history="0" r:id="rId11" w:tooltip="Постановление Правительства Амурской области от 08.04.2013 N 138 &quot;О внесении изменений в постановление Правительства области от 6 февраля 2012 г. N 35&quot; {КонсультантПлюс}">
              <w:r>
                <w:rPr>
                  <w:sz w:val="24"/>
                  <w:color w:val="0000ff"/>
                </w:rPr>
                <w:t xml:space="preserve">N 138</w:t>
              </w:r>
            </w:hyperlink>
            <w:r>
              <w:rPr>
                <w:sz w:val="24"/>
                <w:color w:val="392c69"/>
              </w:rPr>
              <w:t xml:space="preserve">,</w:t>
            </w:r>
          </w:p>
          <w:p>
            <w:pPr>
              <w:pStyle w:val="0"/>
              <w:jc w:val="center"/>
            </w:pPr>
            <w:r>
              <w:rPr>
                <w:sz w:val="24"/>
                <w:color w:val="392c69"/>
              </w:rPr>
              <w:t xml:space="preserve">от 07.06.2013 </w:t>
            </w:r>
            <w:hyperlink w:history="0" r:id="rId12" w:tooltip="Постановление Правительства Амурской области от 07.06.2013 N 268 &quot;О внесении изменений в некоторые нормативные правовые акты Правительства Амурской области&quot; {КонсультантПлюс}">
              <w:r>
                <w:rPr>
                  <w:sz w:val="24"/>
                  <w:color w:val="0000ff"/>
                </w:rPr>
                <w:t xml:space="preserve">N 268</w:t>
              </w:r>
            </w:hyperlink>
            <w:r>
              <w:rPr>
                <w:sz w:val="24"/>
                <w:color w:val="392c69"/>
              </w:rPr>
              <w:t xml:space="preserve">, от 08.09.2016 </w:t>
            </w:r>
            <w:hyperlink w:history="0" r:id="rId13" w:tooltip="Постановление Правительства Амурской области от 08.09.2016 N 386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386</w:t>
              </w:r>
            </w:hyperlink>
            <w:r>
              <w:rPr>
                <w:sz w:val="24"/>
                <w:color w:val="392c69"/>
              </w:rPr>
              <w:t xml:space="preserve">,</w:t>
            </w:r>
          </w:p>
          <w:p>
            <w:pPr>
              <w:pStyle w:val="0"/>
              <w:jc w:val="center"/>
            </w:pPr>
            <w:r>
              <w:rPr>
                <w:sz w:val="24"/>
                <w:color w:val="392c69"/>
              </w:rPr>
              <w:t xml:space="preserve">от 12.07.2017 </w:t>
            </w:r>
            <w:hyperlink w:history="0" r:id="rId14" w:tooltip="Постановление Правительства Амурской области от 12.07.2017 N 331 &quot;О внесении изменений в некоторые нормативные правовые акты Правительства Амурской области&quot; {КонсультантПлюс}">
              <w:r>
                <w:rPr>
                  <w:sz w:val="24"/>
                  <w:color w:val="0000ff"/>
                </w:rPr>
                <w:t xml:space="preserve">N 331</w:t>
              </w:r>
            </w:hyperlink>
            <w:r>
              <w:rPr>
                <w:sz w:val="24"/>
                <w:color w:val="392c69"/>
              </w:rPr>
              <w:t xml:space="preserve">, от 21.03.2018 </w:t>
            </w:r>
            <w:hyperlink w:history="0" r:id="rId15" w:tooltip="Постановление Правительства Амурской области от 21.03.2018 N 117 &quot;О внесении изменений в некоторые нормативные правовые акты Правительства Амурской области&quot; {КонсультантПлюс}">
              <w:r>
                <w:rPr>
                  <w:sz w:val="24"/>
                  <w:color w:val="0000ff"/>
                </w:rPr>
                <w:t xml:space="preserve">N 117</w:t>
              </w:r>
            </w:hyperlink>
            <w:r>
              <w:rPr>
                <w:sz w:val="24"/>
                <w:color w:val="392c69"/>
              </w:rPr>
              <w:t xml:space="preserve">,</w:t>
            </w:r>
          </w:p>
          <w:p>
            <w:pPr>
              <w:pStyle w:val="0"/>
              <w:jc w:val="center"/>
            </w:pPr>
            <w:r>
              <w:rPr>
                <w:sz w:val="24"/>
                <w:color w:val="392c69"/>
              </w:rPr>
              <w:t xml:space="preserve">от 21.06.2021 </w:t>
            </w:r>
            <w:hyperlink w:history="0" r:id="rId16" w:tooltip="Постановление Правительства Амурской области от 21.06.2021 N 392 &quot;О внесении изменений в некоторые нормативные правовые акты Правительства Амурской области&quot; {КонсультантПлюс}">
              <w:r>
                <w:rPr>
                  <w:sz w:val="24"/>
                  <w:color w:val="0000ff"/>
                </w:rPr>
                <w:t xml:space="preserve">N 392</w:t>
              </w:r>
            </w:hyperlink>
            <w:r>
              <w:rPr>
                <w:sz w:val="24"/>
                <w:color w:val="392c69"/>
              </w:rPr>
              <w:t xml:space="preserve">, от 15.02.2022 </w:t>
            </w:r>
            <w:hyperlink w:history="0" r:id="rId17" w:tooltip="Постановление Правительства Амурской области от 15.02.2022 N 168 &quot;О внесении изменений в некоторые нормативные правовые акты Правительства Амурской области и признании утратившими силу некоторых нормативных правовых актов Правительства Амурской области&quot; {КонсультантПлюс}">
              <w:r>
                <w:rPr>
                  <w:sz w:val="24"/>
                  <w:color w:val="0000ff"/>
                </w:rPr>
                <w:t xml:space="preserve">N 168</w:t>
              </w:r>
            </w:hyperlink>
            <w:r>
              <w:rPr>
                <w:sz w:val="24"/>
                <w:color w:val="392c69"/>
              </w:rPr>
              <w:t xml:space="preserve">,</w:t>
            </w:r>
          </w:p>
          <w:p>
            <w:pPr>
              <w:pStyle w:val="0"/>
              <w:jc w:val="center"/>
            </w:pPr>
            <w:r>
              <w:rPr>
                <w:sz w:val="24"/>
                <w:color w:val="392c69"/>
              </w:rPr>
              <w:t xml:space="preserve">от 30.06.2022 </w:t>
            </w:r>
            <w:hyperlink w:history="0" r:id="rId18" w:tooltip="Постановление Правительства Амурской области от 30.06.2022 N 635 &quot;О внесении изменений в постановление Правительства Амурской области от 6 февраля 2012 г. N 35&quot; {КонсультантПлюс}">
              <w:r>
                <w:rPr>
                  <w:sz w:val="24"/>
                  <w:color w:val="0000ff"/>
                </w:rPr>
                <w:t xml:space="preserve">N 635</w:t>
              </w:r>
            </w:hyperlink>
            <w:r>
              <w:rPr>
                <w:sz w:val="24"/>
                <w:color w:val="392c69"/>
              </w:rPr>
              <w:t xml:space="preserve">, от 13.01.2023 </w:t>
            </w:r>
            <w:hyperlink w:history="0" r:id="rId19" w:tooltip="Постановление Правительства Амурской области от 13.01.2023 N 27 &quot;О внесении изменений в некоторые нормативные правовые акты Правительства Амурской области и признании утратившими силу некоторых нормативных правовых актов Правительства Амурской области&quot; {КонсультантПлюс}">
              <w:r>
                <w:rPr>
                  <w:sz w:val="24"/>
                  <w:color w:val="0000ff"/>
                </w:rPr>
                <w:t xml:space="preserve">N 27</w:t>
              </w:r>
            </w:hyperlink>
            <w:r>
              <w:rPr>
                <w:sz w:val="24"/>
                <w:color w:val="392c69"/>
              </w:rPr>
              <w:t xml:space="preserve">,</w:t>
            </w:r>
          </w:p>
          <w:p>
            <w:pPr>
              <w:pStyle w:val="0"/>
              <w:jc w:val="center"/>
            </w:pPr>
            <w:r>
              <w:rPr>
                <w:sz w:val="24"/>
                <w:color w:val="392c69"/>
              </w:rPr>
              <w:t xml:space="preserve">от 20.03.2023 </w:t>
            </w:r>
            <w:hyperlink w:history="0" r:id="rId20" w:tooltip="Постановление Правительства Амурской области от 20.03.2023 N 265 &quot;О внесении изменений в некоторые нормативные правовые акты Правительства Амурской области&quot; {КонсультантПлюс}">
              <w:r>
                <w:rPr>
                  <w:sz w:val="24"/>
                  <w:color w:val="0000ff"/>
                </w:rPr>
                <w:t xml:space="preserve">N 265</w:t>
              </w:r>
            </w:hyperlink>
            <w:r>
              <w:rPr>
                <w:sz w:val="24"/>
                <w:color w:val="392c69"/>
              </w:rPr>
              <w:t xml:space="preserve">, от 16.09.2024 </w:t>
            </w:r>
            <w:hyperlink w:history="0" r:id="rId21" w:tooltip="Постановление Правительства Амурской области от 16.09.2024 N 720 &quot;О внесении изменений в некоторые нормативные правовые акты Правительства Амурской области&quot; {КонсультантПлюс}">
              <w:r>
                <w:rPr>
                  <w:sz w:val="24"/>
                  <w:color w:val="0000ff"/>
                </w:rPr>
                <w:t xml:space="preserve">N 720</w:t>
              </w:r>
            </w:hyperlink>
            <w:r>
              <w:rPr>
                <w:sz w:val="24"/>
                <w:color w:val="392c69"/>
              </w:rPr>
              <w:t xml:space="preserve">,</w:t>
            </w:r>
          </w:p>
          <w:p>
            <w:pPr>
              <w:pStyle w:val="0"/>
              <w:jc w:val="center"/>
            </w:pPr>
            <w:r>
              <w:rPr>
                <w:sz w:val="24"/>
                <w:color w:val="392c69"/>
              </w:rPr>
              <w:t xml:space="preserve">от 28.12.2024 </w:t>
            </w:r>
            <w:hyperlink w:history="0" r:id="rId22" w:tooltip="Постановление Правительства Амурской области от 28.12.2024 N 1039 &quot;О внесении изменений в некоторые нормативные правовые акты Правительства Амурской области&quot; {КонсультантПлюс}">
              <w:r>
                <w:rPr>
                  <w:sz w:val="24"/>
                  <w:color w:val="0000ff"/>
                </w:rPr>
                <w:t xml:space="preserve">N 1039</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соответствии со </w:t>
      </w:r>
      <w:hyperlink w:history="0" r:id="rId23" w:tooltip="&quot;Бюджетный кодекс Российской Федерации&quot; от 31.07.1998 N 145-ФЗ (ред. от 28.12.2025) {КонсультантПлюс}">
        <w:r>
          <w:rPr>
            <w:sz w:val="24"/>
            <w:color w:val="0000ff"/>
          </w:rPr>
          <w:t xml:space="preserve">статьей 78</w:t>
        </w:r>
      </w:hyperlink>
      <w:r>
        <w:rPr>
          <w:sz w:val="24"/>
        </w:rPr>
        <w:t xml:space="preserve"> Бюджетного кодекса Российской Федерации, в целях обеспечения равной доступности услуг общественного транспорта на территории Амурской области для отдельных категорий граждан, оказание мер социальной поддержки которых относится к ведению Российской Федерации и Амурской области, Правительство Амурской области постановляет:</w:t>
      </w:r>
    </w:p>
    <w:p>
      <w:pPr>
        <w:pStyle w:val="0"/>
        <w:jc w:val="both"/>
      </w:pPr>
      <w:r>
        <w:rPr>
          <w:sz w:val="24"/>
        </w:rPr>
        <w:t xml:space="preserve">(преамбула в ред. постановления Правительства Амурской области от 08.09.2016 </w:t>
      </w:r>
      <w:hyperlink w:history="0" r:id="rId24" w:tooltip="Постановление Правительства Амурской области от 08.09.2016 N 386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386</w:t>
        </w:r>
      </w:hyperlink>
      <w:r>
        <w:rPr>
          <w:sz w:val="24"/>
        </w:rPr>
        <w:t xml:space="preserve">)</w:t>
      </w:r>
    </w:p>
    <w:p>
      <w:pPr>
        <w:pStyle w:val="0"/>
        <w:spacing w:before="240" w:lineRule="auto"/>
        <w:ind w:firstLine="540"/>
        <w:jc w:val="both"/>
      </w:pPr>
      <w:r>
        <w:rPr>
          <w:sz w:val="24"/>
        </w:rPr>
        <w:t xml:space="preserve">1. Утвердить прилагаемый </w:t>
      </w:r>
      <w:hyperlink w:history="0" w:anchor="P56" w:tooltip="ПОРЯДОК">
        <w:r>
          <w:rPr>
            <w:sz w:val="24"/>
            <w:color w:val="0000ff"/>
          </w:rPr>
          <w:t xml:space="preserve">Порядок</w:t>
        </w:r>
      </w:hyperlink>
      <w:r>
        <w:rPr>
          <w:sz w:val="24"/>
        </w:rPr>
        <w:t xml:space="preserve"> предоставления пассажирским транспортным предприятиям субсидий на возмещение расходов за проезд по единым социальным проездным билетам.</w:t>
      </w:r>
    </w:p>
    <w:p>
      <w:pPr>
        <w:pStyle w:val="0"/>
        <w:jc w:val="both"/>
      </w:pPr>
      <w:r>
        <w:rPr>
          <w:sz w:val="24"/>
        </w:rPr>
        <w:t xml:space="preserve">(в ред. постановлений Правительства Амурской области от 08.09.2016 </w:t>
      </w:r>
      <w:hyperlink w:history="0" r:id="rId25" w:tooltip="Постановление Правительства Амурской области от 08.09.2016 N 386 (ред. от 09.11.2023) &quot;О внесении изменений в некоторые нормативные правовые акты Правительства Амурской области&quot; {КонсультантПлюс}">
        <w:r>
          <w:rPr>
            <w:sz w:val="24"/>
            <w:color w:val="0000ff"/>
          </w:rPr>
          <w:t xml:space="preserve">N 386</w:t>
        </w:r>
      </w:hyperlink>
      <w:r>
        <w:rPr>
          <w:sz w:val="24"/>
        </w:rPr>
        <w:t xml:space="preserve">, от 28.12.2024 </w:t>
      </w:r>
      <w:hyperlink w:history="0" r:id="rId26" w:tooltip="Постановление Правительства Амурской области от 28.12.2024 N 1039 &quot;О внесении изменений в некоторые нормативные правовые акты Правительства Амурской области&quot; {КонсультантПлюс}">
        <w:r>
          <w:rPr>
            <w:sz w:val="24"/>
            <w:color w:val="0000ff"/>
          </w:rPr>
          <w:t xml:space="preserve">N 1039</w:t>
        </w:r>
      </w:hyperlink>
      <w:r>
        <w:rPr>
          <w:sz w:val="24"/>
        </w:rPr>
        <w:t xml:space="preserve">)</w:t>
      </w:r>
    </w:p>
    <w:p>
      <w:pPr>
        <w:pStyle w:val="0"/>
        <w:jc w:val="both"/>
      </w:pPr>
      <w:r>
        <w:rPr>
          <w:sz w:val="24"/>
        </w:rPr>
      </w:r>
    </w:p>
    <w:p>
      <w:pPr>
        <w:pStyle w:val="1"/>
        <w:jc w:val="both"/>
      </w:pPr>
      <w:r>
        <w:rPr>
          <w:sz w:val="20"/>
        </w:rPr>
        <w:t xml:space="preserve">     1</w:t>
      </w:r>
    </w:p>
    <w:p>
      <w:pPr>
        <w:pStyle w:val="1"/>
        <w:jc w:val="both"/>
      </w:pPr>
      <w:r>
        <w:rPr>
          <w:sz w:val="20"/>
        </w:rPr>
        <w:t xml:space="preserve">    1 . Министерству   социальной   защиты   населения   Амурской   области</w:t>
      </w:r>
    </w:p>
    <w:p>
      <w:pPr>
        <w:pStyle w:val="1"/>
        <w:jc w:val="both"/>
      </w:pPr>
      <w:r>
        <w:rPr>
          <w:sz w:val="20"/>
        </w:rPr>
        <w:t xml:space="preserve">(Н.П.Санникова)  произвести  возмещение  расходов пассажирским транспортным</w:t>
      </w:r>
    </w:p>
    <w:p>
      <w:pPr>
        <w:pStyle w:val="1"/>
        <w:jc w:val="both"/>
      </w:pPr>
      <w:r>
        <w:rPr>
          <w:sz w:val="20"/>
        </w:rPr>
        <w:t xml:space="preserve">предприятиям   за   проезд  граждан  отдельных  категорий  на  пассажирском</w:t>
      </w:r>
    </w:p>
    <w:p>
      <w:pPr>
        <w:pStyle w:val="1"/>
        <w:jc w:val="both"/>
      </w:pPr>
      <w:r>
        <w:rPr>
          <w:sz w:val="20"/>
        </w:rPr>
        <w:t xml:space="preserve">транспорте  общего  пользования  по  единым  социальным  проездным  билетам</w:t>
      </w:r>
    </w:p>
    <w:p>
      <w:pPr>
        <w:pStyle w:val="1"/>
        <w:jc w:val="both"/>
      </w:pPr>
      <w:r>
        <w:rPr>
          <w:sz w:val="20"/>
        </w:rPr>
        <w:t xml:space="preserve">за декабрь  2011  года  за  счет  бюджетных  ассигнований,  предусмотренных</w:t>
      </w:r>
    </w:p>
    <w:p>
      <w:pPr>
        <w:pStyle w:val="1"/>
        <w:jc w:val="both"/>
      </w:pPr>
      <w:r>
        <w:rPr>
          <w:sz w:val="20"/>
        </w:rPr>
        <w:t xml:space="preserve">на указанные цели в областном бюджете на текущий финансовый год.</w:t>
      </w:r>
    </w:p>
    <w:p>
      <w:pPr>
        <w:pStyle w:val="1"/>
        <w:jc w:val="both"/>
      </w:pPr>
      <w:r>
        <w:rPr>
          <w:sz w:val="20"/>
        </w:rPr>
        <w:t xml:space="preserve">     1</w:t>
      </w:r>
    </w:p>
    <w:p>
      <w:pPr>
        <w:pStyle w:val="1"/>
        <w:jc w:val="both"/>
      </w:pPr>
      <w:r>
        <w:rPr>
          <w:sz w:val="20"/>
        </w:rPr>
        <w:t xml:space="preserve">(п. 1  введен постановлением Правительства Амурской  области  от 09.02.2012</w:t>
      </w:r>
    </w:p>
    <w:p>
      <w:pPr>
        <w:pStyle w:val="1"/>
        <w:jc w:val="both"/>
      </w:pPr>
      <w:hyperlink w:history="0" r:id="rId27" w:tooltip="Постановление Правительства Амурской области от 09.02.2012 N 62 &quot;О внесении изменений в некоторые постановления Правительства Амурской области&quot; {КонсультантПлюс}">
        <w:r>
          <w:rPr>
            <w:sz w:val="20"/>
            <w:color w:val="0000ff"/>
          </w:rPr>
          <w:t xml:space="preserve">N 62</w:t>
        </w:r>
      </w:hyperlink>
      <w:r>
        <w:rPr>
          <w:sz w:val="20"/>
        </w:rPr>
        <w:t xml:space="preserve">)</w:t>
      </w:r>
    </w:p>
    <w:p>
      <w:pPr>
        <w:pStyle w:val="0"/>
        <w:jc w:val="both"/>
      </w:pPr>
      <w:r>
        <w:rPr>
          <w:sz w:val="24"/>
        </w:rPr>
      </w:r>
    </w:p>
    <w:p>
      <w:pPr>
        <w:pStyle w:val="0"/>
        <w:ind w:firstLine="540"/>
        <w:jc w:val="both"/>
      </w:pPr>
      <w:r>
        <w:rPr>
          <w:sz w:val="24"/>
        </w:rPr>
        <w:t xml:space="preserve">2. Признать утратившими силу:</w:t>
      </w:r>
    </w:p>
    <w:p>
      <w:pPr>
        <w:pStyle w:val="0"/>
        <w:spacing w:before="240" w:lineRule="auto"/>
        <w:ind w:firstLine="540"/>
        <w:jc w:val="both"/>
      </w:pPr>
      <w:r>
        <w:rPr>
          <w:sz w:val="24"/>
        </w:rPr>
        <w:t xml:space="preserve">постановления Правительства Амурской области от 14 апреля 2008 г. </w:t>
      </w:r>
      <w:hyperlink w:history="0" r:id="rId28" w:tooltip="Постановление Правительства Амурской области от 14.04.2008 N 78 (ред. от 29.06.2011) &quot;Об утверждении Порядка возмещения пассажирским транспортным предприятиям расходов за проезд граждан отдельных категорий по единым социальным проездным билетам&quot; ------------ Утратил силу или отменен {КонсультантПлюс}">
        <w:r>
          <w:rPr>
            <w:sz w:val="24"/>
            <w:color w:val="0000ff"/>
          </w:rPr>
          <w:t xml:space="preserve">N 78</w:t>
        </w:r>
      </w:hyperlink>
      <w:r>
        <w:rPr>
          <w:sz w:val="24"/>
        </w:rPr>
        <w:t xml:space="preserve">, от 30 мая 2008 г. </w:t>
      </w:r>
      <w:hyperlink w:history="0" r:id="rId29" w:tooltip="Постановление Правительства Амурской области от 30.05.2008 N 123 &quot;О внесении изменения в постановление Правительства Амурской области от 14 апреля 2008 г. N 78&quot; ------------ Утратил силу или отменен {КонсультантПлюс}">
        <w:r>
          <w:rPr>
            <w:sz w:val="24"/>
            <w:color w:val="0000ff"/>
          </w:rPr>
          <w:t xml:space="preserve">N 123</w:t>
        </w:r>
      </w:hyperlink>
      <w:r>
        <w:rPr>
          <w:sz w:val="24"/>
        </w:rPr>
        <w:t xml:space="preserve">, от 26 января 2009 г. </w:t>
      </w:r>
      <w:hyperlink w:history="0" r:id="rId30" w:tooltip="Постановление Правительства Амурской области от 26.01.2009 N 11 &quot;О внесении изменений в постановление Правительства Амурской области от 14 апреля 2008 г. N 78&quot; ------------ Утратил силу или отменен {КонсультантПлюс}">
        <w:r>
          <w:rPr>
            <w:sz w:val="24"/>
            <w:color w:val="0000ff"/>
          </w:rPr>
          <w:t xml:space="preserve">N 11</w:t>
        </w:r>
      </w:hyperlink>
      <w:r>
        <w:rPr>
          <w:sz w:val="24"/>
        </w:rPr>
        <w:t xml:space="preserve">, от 15 марта 2010 г. </w:t>
      </w:r>
      <w:hyperlink w:history="0" r:id="rId31" w:tooltip="Постановление Правительства Амурской области от 15.03.2010 N 99 &quot;О внесении изменений в постановление Правительства Амурской области от 14 апреля 2008 г. N 78&quot; ------------ Утратил силу или отменен {КонсультантПлюс}">
        <w:r>
          <w:rPr>
            <w:sz w:val="24"/>
            <w:color w:val="0000ff"/>
          </w:rPr>
          <w:t xml:space="preserve">N 99</w:t>
        </w:r>
      </w:hyperlink>
      <w:r>
        <w:rPr>
          <w:sz w:val="24"/>
        </w:rPr>
        <w:t xml:space="preserve">, от 11 августа 2010 г. </w:t>
      </w:r>
      <w:hyperlink w:history="0" r:id="rId32" w:tooltip="Постановление Правительства Амурской области от 11.08.2010 N 434 (ред. от 09.11.2011) &quot;Об утверждении Порядков возмещения пассажирским транспортным предприятиям расходов за перевозку граждан отдельных категорий&quot; ------------ Утратил силу или отменен {КонсультантПлюс}">
        <w:r>
          <w:rPr>
            <w:sz w:val="24"/>
            <w:color w:val="0000ff"/>
          </w:rPr>
          <w:t xml:space="preserve">N 434</w:t>
        </w:r>
      </w:hyperlink>
      <w:r>
        <w:rPr>
          <w:sz w:val="24"/>
        </w:rPr>
        <w:t xml:space="preserve">, от 18 октября 2010 г. </w:t>
      </w:r>
      <w:hyperlink w:history="0" r:id="rId33" w:tooltip="Постановление Правительства Амурской области от 18.10.2010 N 577 &quot;О внесении изменений в постановление Правительства Амурской области от 14 апреля 2008 г. N 78&quot; ------------ Утратил силу или отменен {КонсультантПлюс}">
        <w:r>
          <w:rPr>
            <w:sz w:val="24"/>
            <w:color w:val="0000ff"/>
          </w:rPr>
          <w:t xml:space="preserve">N 577</w:t>
        </w:r>
      </w:hyperlink>
      <w:r>
        <w:rPr>
          <w:sz w:val="24"/>
        </w:rPr>
        <w:t xml:space="preserve">, от 18 октября 2010 г. </w:t>
      </w:r>
      <w:hyperlink w:history="0" r:id="rId34" w:tooltip="Постановление Правительства Амурской области от 18.10.2010 N 579 &quot;О внесении изменений в постановление Правительства Амурской области от 11 августа 2010 г. N 434&quot; ------------ Утратил силу или отменен {КонсультантПлюс}">
        <w:r>
          <w:rPr>
            <w:sz w:val="24"/>
            <w:color w:val="0000ff"/>
          </w:rPr>
          <w:t xml:space="preserve">N 579</w:t>
        </w:r>
      </w:hyperlink>
      <w:r>
        <w:rPr>
          <w:sz w:val="24"/>
        </w:rPr>
        <w:t xml:space="preserve">, от 29 июня 2011 г. </w:t>
      </w:r>
      <w:hyperlink w:history="0" r:id="rId35" w:tooltip="Постановление Правительства Амурской области от 29.06.2011 N 431 &quot;О внесении изменений в постановление Правительства Амурской области от 14 апреля 2008 г. N 78&quot; ------------ Утратил силу или отменен {КонсультантПлюс}">
        <w:r>
          <w:rPr>
            <w:sz w:val="24"/>
            <w:color w:val="0000ff"/>
          </w:rPr>
          <w:t xml:space="preserve">N 431</w:t>
        </w:r>
      </w:hyperlink>
      <w:r>
        <w:rPr>
          <w:sz w:val="24"/>
        </w:rPr>
        <w:t xml:space="preserve">, </w:t>
      </w:r>
      <w:hyperlink w:history="0" r:id="rId36" w:tooltip="Постановление Правительства Амурской области от 09.11.2011 N 756 &quot;О внесении изменений в некоторые нормативные правовые акты Правительства Амурской области&quot; ------------ Недействующая редакция {КонсультантПлюс}">
        <w:r>
          <w:rPr>
            <w:sz w:val="24"/>
            <w:color w:val="0000ff"/>
          </w:rPr>
          <w:t xml:space="preserve">пункт 20</w:t>
        </w:r>
      </w:hyperlink>
      <w:r>
        <w:rPr>
          <w:sz w:val="24"/>
        </w:rPr>
        <w:t xml:space="preserve"> приложения к постановлению Правительства Амурской области от 9 ноября 2011 г. N 756.</w:t>
      </w:r>
    </w:p>
    <w:p>
      <w:pPr>
        <w:pStyle w:val="0"/>
        <w:jc w:val="both"/>
      </w:pPr>
      <w:r>
        <w:rPr>
          <w:sz w:val="24"/>
        </w:rPr>
        <w:t xml:space="preserve">(в ред. постановления Правительства Амурской области от 19.03.2012 </w:t>
      </w:r>
      <w:hyperlink w:history="0" r:id="rId37" w:tooltip="Постановление Правительства Амурской области от 19.03.2012 N 128 &quot;О внесении изменений в некоторые постановления Правительства Амурской области&quot; {КонсультантПлюс}">
        <w:r>
          <w:rPr>
            <w:sz w:val="24"/>
            <w:color w:val="0000ff"/>
          </w:rPr>
          <w:t xml:space="preserve">N 128</w:t>
        </w:r>
      </w:hyperlink>
      <w:r>
        <w:rPr>
          <w:sz w:val="24"/>
        </w:rPr>
        <w:t xml:space="preserve">)</w:t>
      </w:r>
    </w:p>
    <w:p>
      <w:pPr>
        <w:pStyle w:val="0"/>
        <w:spacing w:before="240" w:lineRule="auto"/>
        <w:ind w:firstLine="540"/>
        <w:jc w:val="both"/>
      </w:pPr>
      <w:r>
        <w:rPr>
          <w:sz w:val="24"/>
        </w:rPr>
        <w:t xml:space="preserve">3. Настоящее постановление вступает в силу со дня его официального опубликования и распространяет свое действие на правоотношения, возникшие с 1 января 2012 года.</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О.Н.КОЖЕМЯКО</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w:t>
      </w:r>
    </w:p>
    <w:p>
      <w:pPr>
        <w:pStyle w:val="0"/>
        <w:jc w:val="right"/>
      </w:pPr>
      <w:r>
        <w:rPr>
          <w:sz w:val="24"/>
        </w:rPr>
        <w:t xml:space="preserve">к постановлению</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6 февраля 2012 г. N 35</w:t>
      </w:r>
    </w:p>
    <w:p>
      <w:pPr>
        <w:pStyle w:val="0"/>
        <w:jc w:val="both"/>
      </w:pPr>
      <w:r>
        <w:rPr>
          <w:sz w:val="24"/>
        </w:rPr>
      </w:r>
    </w:p>
    <w:bookmarkStart w:id="56" w:name="P56"/>
    <w:bookmarkEnd w:id="56"/>
    <w:p>
      <w:pPr>
        <w:pStyle w:val="2"/>
        <w:jc w:val="center"/>
      </w:pPr>
      <w:r>
        <w:rPr>
          <w:sz w:val="24"/>
        </w:rPr>
        <w:t xml:space="preserve">ПОРЯДОК</w:t>
      </w:r>
    </w:p>
    <w:p>
      <w:pPr>
        <w:pStyle w:val="2"/>
        <w:jc w:val="center"/>
      </w:pPr>
      <w:r>
        <w:rPr>
          <w:sz w:val="24"/>
        </w:rPr>
        <w:t xml:space="preserve">ПРЕДОСТАВЛЕНИЯ ПАССАЖИРСКИМ ТРАНСПОРТНЫМ ПРЕДПРИЯТИЯМ</w:t>
      </w:r>
    </w:p>
    <w:p>
      <w:pPr>
        <w:pStyle w:val="2"/>
        <w:jc w:val="center"/>
      </w:pPr>
      <w:r>
        <w:rPr>
          <w:sz w:val="24"/>
        </w:rPr>
        <w:t xml:space="preserve">СУБСИДИЙ НА ВОЗМЕЩЕНИЕ РАСХОДОВ ЗА ПРОЕЗД</w:t>
      </w:r>
    </w:p>
    <w:p>
      <w:pPr>
        <w:pStyle w:val="2"/>
        <w:jc w:val="center"/>
      </w:pPr>
      <w:r>
        <w:rPr>
          <w:sz w:val="24"/>
        </w:rPr>
        <w:t xml:space="preserve">ПО ЕДИНЫМ СОЦИАЛЬНЫМ ПРОЕЗДНЫМ БИЛЕТАМ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28.12.2024 </w:t>
            </w:r>
            <w:hyperlink w:history="0" r:id="rId38" w:tooltip="Постановление Правительства Амурской области от 28.12.2024 N 1039 &quot;О внесении изменений в некоторые нормативные правовые акты Правительства Амурской области&quot; {КонсультантПлюс}">
              <w:r>
                <w:rPr>
                  <w:sz w:val="24"/>
                  <w:color w:val="0000ff"/>
                </w:rPr>
                <w:t xml:space="preserve">N 1039</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1. Настоящий Порядок устанавливает цели, условия и порядок предоставления пассажирским транспортным предприятиям субсидий, источником финансового обеспечения которых являются средства областного бюджета, на возмещение расходов за проезд граждан по единым социальным проездным билетам (далее соответственно - ЕСПБ, субсидия), а также категории лиц, имеющих право на получение субсидии, и порядок возврата субсидии.</w:t>
      </w:r>
    </w:p>
    <w:p>
      <w:pPr>
        <w:pStyle w:val="0"/>
        <w:spacing w:before="240" w:lineRule="auto"/>
        <w:ind w:firstLine="540"/>
        <w:jc w:val="both"/>
      </w:pPr>
      <w:r>
        <w:rPr>
          <w:sz w:val="24"/>
        </w:rPr>
        <w:t xml:space="preserve">2. В настоящем Порядке используются следующие понятия:</w:t>
      </w:r>
    </w:p>
    <w:p>
      <w:pPr>
        <w:pStyle w:val="0"/>
        <w:spacing w:before="240" w:lineRule="auto"/>
        <w:ind w:firstLine="540"/>
        <w:jc w:val="both"/>
      </w:pPr>
      <w:r>
        <w:rPr>
          <w:sz w:val="24"/>
        </w:rPr>
        <w:t xml:space="preserve">1) граждане отдельных категорий - граждане, имеющие право на льготный проезд по регулярным маршрутам в соответствии с </w:t>
      </w:r>
      <w:hyperlink w:history="0" r:id="rId39" w:tooltip="Постановление Правительства Амурской области от 29.07.2022 N 770 (ред. от 22.04.2025) &quot;Об утверждении Порядка предоставления права льготного проезда на пассажирском автомобильном транспорте общего пользования (кроме такси) отдельным категориям граждан за счет средств областного бюджета&quot; {КонсультантПлюс}">
        <w:r>
          <w:rPr>
            <w:sz w:val="24"/>
            <w:color w:val="0000ff"/>
          </w:rPr>
          <w:t xml:space="preserve">постановлением</w:t>
        </w:r>
      </w:hyperlink>
      <w:r>
        <w:rPr>
          <w:sz w:val="24"/>
        </w:rPr>
        <w:t xml:space="preserve"> Правительства Амурской области от 29 июля 2022 г. N 770 "Об утверждении Порядка предоставления права льготного проезда на пассажирском автомобильном транспорте общего пользования (кроме такси) отдельным категориям граждан за счет средств областного бюджета", использующие ЕСПБ;</w:t>
      </w:r>
    </w:p>
    <w:p>
      <w:pPr>
        <w:pStyle w:val="0"/>
        <w:spacing w:before="240" w:lineRule="auto"/>
        <w:ind w:firstLine="540"/>
        <w:jc w:val="both"/>
      </w:pPr>
      <w:r>
        <w:rPr>
          <w:sz w:val="24"/>
        </w:rPr>
        <w:t xml:space="preserve">2) регулярные маршруты - муниципальные маршруты регулярных перевозок по регулируемым тарифам, а также межмуниципальные маршруты регулярных перевозок по регулируемым тарифам в границах муниципального района (муниципального округа) и городского округа Амурской области, на территории которого расположен административный центр данного муниципального района (муниципального округа) Амурской области, а в случае отсутствия муниципальных и указанных межмуниципальных маршрутов - иные межмуниципальные маршруты регулярных перевозок по регулируемым тарифам, по которым граждане отдельных категорий имеют право проезда на расстояние до 50 км включительно от начального (конечного) остановочного пункта;</w:t>
      </w:r>
    </w:p>
    <w:p>
      <w:pPr>
        <w:pStyle w:val="0"/>
        <w:spacing w:before="240" w:lineRule="auto"/>
        <w:ind w:firstLine="540"/>
        <w:jc w:val="both"/>
      </w:pPr>
      <w:r>
        <w:rPr>
          <w:sz w:val="24"/>
        </w:rPr>
        <w:t xml:space="preserve">3) базовый период - период с 1 марта 2012 года по 28 февраля 2013 года, а также иные периоды, состоящие из 12 месяцев, в течение которых осуществлялся учет количества и стоимости поездок, совершенных гражданами отдельных категорий на территории Амурской области по муниципальным маршрутам регулярных перевозок по регулируемым тарифам в границах муниципального округа, двух и более поселений одного муниципального района Амурской области, по межмуниципальным маршрутам регулярных перевозок по регулируемым тарифам в границах муниципального района (муниципального округа) и городского округа Амурской области, на территории которого расположен административный центр данного муниципального района (муниципального округа) Амурской области, а в случае отсутствия муниципальных и указанных межмуниципальных маршрутов - по иным межмуниципальным маршрутам регулярных перевозок по регулируемым тарифам на расстояние до 50 км включительно от начального (конечного) остановочного пункта;</w:t>
      </w:r>
    </w:p>
    <w:p>
      <w:pPr>
        <w:pStyle w:val="0"/>
        <w:spacing w:before="240" w:lineRule="auto"/>
        <w:ind w:firstLine="540"/>
        <w:jc w:val="both"/>
      </w:pPr>
      <w:r>
        <w:rPr>
          <w:sz w:val="24"/>
        </w:rPr>
        <w:t xml:space="preserve">4) новые маршруты - открываемые на территории муниципального района (муниципального округа) Амурской области муниципальные маршруты регулярных перевозок по регулируемым тарифам в границах муниципального округа, двух и более поселений одного муниципального района Амурской области, а также межмуниципальные маршруты регулярных перевозок по регулируемым тарифам, по которым не проводился мониторинг поездок, совершаемых гражданами отдельных категорий на пассажирском транспорте общего пользования, предусмотренный </w:t>
      </w:r>
      <w:hyperlink w:history="0" r:id="rId40" w:tooltip="Распоряжение Губернатора Амурской области от 07.02.2012 N 19-р &quot;О проведении мониторинга поездок, совершаемых гражданами отдельных категорий на пассажирском транспорте общего пользования&quot; {КонсультантПлюс}">
        <w:r>
          <w:rPr>
            <w:sz w:val="24"/>
            <w:color w:val="0000ff"/>
          </w:rPr>
          <w:t xml:space="preserve">распоряжением</w:t>
        </w:r>
      </w:hyperlink>
      <w:r>
        <w:rPr>
          <w:sz w:val="24"/>
        </w:rPr>
        <w:t xml:space="preserve"> Губернатора Амурской области от 7 февраля 2012 г. N 19-р "О проведении мониторинга поездок, совершаемых гражданами отдельных категорий на пассажирском транспорте общего пользования";</w:t>
      </w:r>
    </w:p>
    <w:p>
      <w:pPr>
        <w:pStyle w:val="0"/>
        <w:spacing w:before="240" w:lineRule="auto"/>
        <w:ind w:firstLine="540"/>
        <w:jc w:val="both"/>
      </w:pPr>
      <w:r>
        <w:rPr>
          <w:sz w:val="24"/>
        </w:rPr>
        <w:t xml:space="preserve">5) электронная система платежей - система учета поездок, совершаемых гражданами отдельных категорий по регулярным маршрутам с использованием микропроцессорной пластиковой карты "Социальная карта" или многофункциональной смарт-карты "Социальная карта Амурской области" на основе национальной платежной системы "Мир";</w:t>
      </w:r>
    </w:p>
    <w:p>
      <w:pPr>
        <w:pStyle w:val="0"/>
        <w:spacing w:before="240" w:lineRule="auto"/>
        <w:ind w:firstLine="540"/>
        <w:jc w:val="both"/>
      </w:pPr>
      <w:r>
        <w:rPr>
          <w:sz w:val="24"/>
        </w:rPr>
        <w:t xml:space="preserve">6) талон-заявка - талон по форме, утвержденной министерством социальной защиты населения Амурской области (далее - министерство), позволяющий осуществлять проезд с использованием ЕСПБ по регулярным маршрутам, на которых используется электронная система платежей.</w:t>
      </w:r>
    </w:p>
    <w:p>
      <w:pPr>
        <w:pStyle w:val="0"/>
        <w:spacing w:before="240" w:lineRule="auto"/>
        <w:ind w:firstLine="540"/>
        <w:jc w:val="both"/>
      </w:pPr>
      <w:r>
        <w:rPr>
          <w:sz w:val="24"/>
        </w:rPr>
        <w:t xml:space="preserve">3. Информация о субсидии размещается на едином портале бюджетной системы Российской Федерации в информационно-телекоммуникационной сети Интернет (</w:t>
      </w:r>
      <w:hyperlink w:history="0" r:id="rId41">
        <w:r>
          <w:rPr>
            <w:sz w:val="24"/>
            <w:color w:val="0000ff"/>
          </w:rPr>
          <w:t xml:space="preserve">http://budget.gov.ru</w:t>
        </w:r>
      </w:hyperlink>
      <w:r>
        <w:rPr>
          <w:sz w:val="24"/>
        </w:rPr>
        <w:t xml:space="preserve">) (далее - единый портал) в разделе "Бюджет" в порядке, установленном Министерством финансов Российской Федерации.</w:t>
      </w:r>
    </w:p>
    <w:p>
      <w:pPr>
        <w:pStyle w:val="0"/>
        <w:spacing w:before="240" w:lineRule="auto"/>
        <w:ind w:firstLine="540"/>
        <w:jc w:val="both"/>
      </w:pPr>
      <w:r>
        <w:rPr>
          <w:sz w:val="24"/>
        </w:rPr>
        <w:t xml:space="preserve">4. Субсидия предоставляется в рамках реализации комплекса процессных мероприятий "Социальная поддержка отдельных категорий граждан" государственной </w:t>
      </w:r>
      <w:hyperlink w:history="0" r:id="rId42" w:tooltip="Постановление Правительства Амурской области от 25.09.2023 N 799 (ред. от 21.01.2026) &quot;Об утверждении государственной программы Амурской области &quot;Развитие системы социальной защиты населения Амурской области&quot; {КонсультантПлюс}">
        <w:r>
          <w:rPr>
            <w:sz w:val="24"/>
            <w:color w:val="0000ff"/>
          </w:rPr>
          <w:t xml:space="preserve">программы</w:t>
        </w:r>
      </w:hyperlink>
      <w:r>
        <w:rPr>
          <w:sz w:val="24"/>
        </w:rPr>
        <w:t xml:space="preserve"> Амурской области "Развитие системы социальной защиты населения Амурской области", утвержденной постановлением Правительства Амурской области от 25 сентября 2023 г. N 799.</w:t>
      </w:r>
    </w:p>
    <w:p>
      <w:pPr>
        <w:pStyle w:val="0"/>
        <w:spacing w:before="240" w:lineRule="auto"/>
        <w:ind w:firstLine="540"/>
        <w:jc w:val="both"/>
      </w:pPr>
      <w:r>
        <w:rPr>
          <w:sz w:val="24"/>
        </w:rPr>
        <w:t xml:space="preserve">5. Главным распорядителем средств областного бюджета, предусмотренных на предоставление субсидии, является министерство.</w:t>
      </w:r>
    </w:p>
    <w:bookmarkStart w:id="75" w:name="P75"/>
    <w:bookmarkEnd w:id="75"/>
    <w:p>
      <w:pPr>
        <w:pStyle w:val="0"/>
        <w:spacing w:before="240" w:lineRule="auto"/>
        <w:ind w:firstLine="540"/>
        <w:jc w:val="both"/>
      </w:pPr>
      <w:r>
        <w:rPr>
          <w:sz w:val="24"/>
        </w:rPr>
        <w:t xml:space="preserve">Предоставление субсидии осуществляется в пределах бюджетных ассигнований, предусмотренных законом об областном бюджете на текущий финансовый год и плановый период, и лимитов бюджетных обязательств, утвержденных министерству в установленном порядке на предоставление субсидии.</w:t>
      </w:r>
    </w:p>
    <w:bookmarkStart w:id="76" w:name="P76"/>
    <w:bookmarkEnd w:id="76"/>
    <w:p>
      <w:pPr>
        <w:pStyle w:val="0"/>
        <w:spacing w:before="240" w:lineRule="auto"/>
        <w:ind w:firstLine="540"/>
        <w:jc w:val="both"/>
      </w:pPr>
      <w:r>
        <w:rPr>
          <w:sz w:val="24"/>
        </w:rPr>
        <w:t xml:space="preserve">6. К категории лиц, имеющих право на получение субсидии, относятся пассажирские транспортные предприятия, зарегистрированные в качестве юридических лиц (за исключением государственных (муниципальных) учреждений), индивидуальных предпринимателей, осуществляющие на территории Амурской области перевозку граждан отдельных категорий по регулярным маршрутам с использованием ЕСПБ (далее - заявители).</w:t>
      </w:r>
    </w:p>
    <w:bookmarkStart w:id="77" w:name="P77"/>
    <w:bookmarkEnd w:id="77"/>
    <w:p>
      <w:pPr>
        <w:pStyle w:val="0"/>
        <w:spacing w:before="240" w:lineRule="auto"/>
        <w:ind w:firstLine="540"/>
        <w:jc w:val="both"/>
      </w:pPr>
      <w:r>
        <w:rPr>
          <w:sz w:val="24"/>
        </w:rPr>
        <w:t xml:space="preserve">7. Субсидия предоставляется в целях социальной поддержки отдельных категорий граждан (в части возмещения расходов за проезд граждан отдельных категорий с использованием ЕСПБ).</w:t>
      </w:r>
    </w:p>
    <w:p>
      <w:pPr>
        <w:pStyle w:val="0"/>
        <w:spacing w:before="240" w:lineRule="auto"/>
        <w:ind w:firstLine="540"/>
        <w:jc w:val="both"/>
      </w:pPr>
      <w:r>
        <w:rPr>
          <w:sz w:val="24"/>
        </w:rPr>
        <w:t xml:space="preserve">8. Субсидия предоставляется на возмещение заявителям расходов, связанных с:</w:t>
      </w:r>
    </w:p>
    <w:p>
      <w:pPr>
        <w:pStyle w:val="0"/>
        <w:spacing w:before="240" w:lineRule="auto"/>
        <w:ind w:firstLine="540"/>
        <w:jc w:val="both"/>
      </w:pPr>
      <w:r>
        <w:rPr>
          <w:sz w:val="24"/>
        </w:rPr>
        <w:t xml:space="preserve">1) проездом граждан отдельных категорий с использованием ЕСПБ по регулярным маршрутам, на которых не используется электронная система платежей;</w:t>
      </w:r>
    </w:p>
    <w:bookmarkStart w:id="80" w:name="P80"/>
    <w:bookmarkEnd w:id="80"/>
    <w:p>
      <w:pPr>
        <w:pStyle w:val="0"/>
        <w:spacing w:before="240" w:lineRule="auto"/>
        <w:ind w:firstLine="540"/>
        <w:jc w:val="both"/>
      </w:pPr>
      <w:r>
        <w:rPr>
          <w:sz w:val="24"/>
        </w:rPr>
        <w:t xml:space="preserve">2) проездом граждан отдельных категорий с использованием ЕСПБ и талонов-заявок по регулярным маршрутам, на которых используется электронная система платежей.</w:t>
      </w:r>
    </w:p>
    <w:p>
      <w:pPr>
        <w:pStyle w:val="0"/>
        <w:spacing w:before="240" w:lineRule="auto"/>
        <w:ind w:firstLine="540"/>
        <w:jc w:val="both"/>
      </w:pPr>
      <w:r>
        <w:rPr>
          <w:sz w:val="24"/>
        </w:rPr>
        <w:t xml:space="preserve">9. Субсидия предоставляется по результатам проведения отбора заявителей для предоставления субсидии (далее - отбор).</w:t>
      </w:r>
    </w:p>
    <w:p>
      <w:pPr>
        <w:pStyle w:val="0"/>
        <w:spacing w:before="240" w:lineRule="auto"/>
        <w:ind w:firstLine="540"/>
        <w:jc w:val="both"/>
      </w:pPr>
      <w:r>
        <w:rPr>
          <w:sz w:val="24"/>
        </w:rPr>
        <w:t xml:space="preserve">Отбор осуществляется государственными казенными учреждениями Амурской области - управлениями социальной защиты населения по городским округам и (или) муниципальным районам (округам) Амурской области (далее - ГКУ-УСЗН) в государственной интегрированной информационной системе управления общественными финансами "Электронный бюджет" путем запроса предложений (заявлений о предоставлении субсидии) (далее соответственно - система "Электронный бюджет", заявление).</w:t>
      </w:r>
    </w:p>
    <w:p>
      <w:pPr>
        <w:pStyle w:val="0"/>
        <w:spacing w:before="240" w:lineRule="auto"/>
        <w:ind w:firstLine="540"/>
        <w:jc w:val="both"/>
      </w:pPr>
      <w:r>
        <w:rPr>
          <w:sz w:val="24"/>
        </w:rPr>
        <w:t xml:space="preserve">Обеспечение доступа к системе "Электронный бюджет" осуществляется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pPr>
        <w:pStyle w:val="0"/>
        <w:spacing w:before="240" w:lineRule="auto"/>
        <w:ind w:firstLine="540"/>
        <w:jc w:val="both"/>
      </w:pPr>
      <w:r>
        <w:rPr>
          <w:sz w:val="24"/>
        </w:rPr>
        <w:t xml:space="preserve">10. ГКУ-УСЗН передаются следующие полномочия министерства по проведению отбора:</w:t>
      </w:r>
    </w:p>
    <w:p>
      <w:pPr>
        <w:pStyle w:val="0"/>
        <w:spacing w:before="240" w:lineRule="auto"/>
        <w:ind w:firstLine="540"/>
        <w:jc w:val="both"/>
      </w:pPr>
      <w:r>
        <w:rPr>
          <w:sz w:val="24"/>
        </w:rPr>
        <w:t xml:space="preserve">1) вскрытие и рассмотрение заявлений;</w:t>
      </w:r>
    </w:p>
    <w:p>
      <w:pPr>
        <w:pStyle w:val="0"/>
        <w:spacing w:before="240" w:lineRule="auto"/>
        <w:ind w:firstLine="540"/>
        <w:jc w:val="both"/>
      </w:pPr>
      <w:r>
        <w:rPr>
          <w:sz w:val="24"/>
        </w:rPr>
        <w:t xml:space="preserve">2) проверка заявителей на соответствие условиям, установленным </w:t>
      </w:r>
      <w:hyperlink w:history="0" w:anchor="P119" w:tooltip="16. Для участия в отборе заявитель должен одновременно соответствовать следующим условиям:">
        <w:r>
          <w:rPr>
            <w:sz w:val="24"/>
            <w:color w:val="0000ff"/>
          </w:rPr>
          <w:t xml:space="preserve">пунктом 16</w:t>
        </w:r>
      </w:hyperlink>
      <w:r>
        <w:rPr>
          <w:sz w:val="24"/>
        </w:rPr>
        <w:t xml:space="preserve"> настоящего Порядка;</w:t>
      </w:r>
    </w:p>
    <w:p>
      <w:pPr>
        <w:pStyle w:val="0"/>
        <w:spacing w:before="240" w:lineRule="auto"/>
        <w:ind w:firstLine="540"/>
        <w:jc w:val="both"/>
      </w:pPr>
      <w:r>
        <w:rPr>
          <w:sz w:val="24"/>
        </w:rPr>
        <w:t xml:space="preserve">3) проверка заявлений и документов, представленных заявителями, на соответствие требованиям к заявлениям и документам, установленным в объявлении о проведении отбора, предусмотренным </w:t>
      </w:r>
      <w:hyperlink w:history="0" w:anchor="P128" w:tooltip="17. Для участия в отборе заявители представляют:">
        <w:r>
          <w:rPr>
            <w:sz w:val="24"/>
            <w:color w:val="0000ff"/>
          </w:rPr>
          <w:t xml:space="preserve">пунктом 17</w:t>
        </w:r>
      </w:hyperlink>
      <w:r>
        <w:rPr>
          <w:sz w:val="24"/>
        </w:rPr>
        <w:t xml:space="preserve"> настоящего Порядка;</w:t>
      </w:r>
    </w:p>
    <w:p>
      <w:pPr>
        <w:pStyle w:val="0"/>
        <w:spacing w:before="240" w:lineRule="auto"/>
        <w:ind w:firstLine="540"/>
        <w:jc w:val="both"/>
      </w:pPr>
      <w:r>
        <w:rPr>
          <w:sz w:val="24"/>
        </w:rPr>
        <w:t xml:space="preserve">4) возврат заявлений на доработку;</w:t>
      </w:r>
    </w:p>
    <w:p>
      <w:pPr>
        <w:pStyle w:val="0"/>
        <w:spacing w:before="240" w:lineRule="auto"/>
        <w:ind w:firstLine="540"/>
        <w:jc w:val="both"/>
      </w:pPr>
      <w:r>
        <w:rPr>
          <w:sz w:val="24"/>
        </w:rPr>
        <w:t xml:space="preserve">5) отклонение заявлений;</w:t>
      </w:r>
    </w:p>
    <w:p>
      <w:pPr>
        <w:pStyle w:val="0"/>
        <w:spacing w:before="240" w:lineRule="auto"/>
        <w:ind w:firstLine="540"/>
        <w:jc w:val="both"/>
      </w:pPr>
      <w:r>
        <w:rPr>
          <w:sz w:val="24"/>
        </w:rPr>
        <w:t xml:space="preserve">6) осуществление запросов разъяснений у заявителей в отношении представленных ими документов и информации с использованием системы "Электронный бюджет";</w:t>
      </w:r>
    </w:p>
    <w:p>
      <w:pPr>
        <w:pStyle w:val="0"/>
        <w:spacing w:before="240" w:lineRule="auto"/>
        <w:ind w:firstLine="540"/>
        <w:jc w:val="both"/>
      </w:pPr>
      <w:r>
        <w:rPr>
          <w:sz w:val="24"/>
        </w:rPr>
        <w:t xml:space="preserve">7) подготовка ответов заявителям на запросы о разъяснении положений объявления о проведении отбора.</w:t>
      </w:r>
    </w:p>
    <w:p>
      <w:pPr>
        <w:pStyle w:val="0"/>
        <w:spacing w:before="240" w:lineRule="auto"/>
        <w:ind w:firstLine="540"/>
        <w:jc w:val="both"/>
      </w:pPr>
      <w:r>
        <w:rPr>
          <w:sz w:val="24"/>
        </w:rPr>
        <w:t xml:space="preserve">11. Взаимодействие ГКУ-УСЗН с заявителями осуществляется с использованием документов в электронной форме в системе "Электронный бюджет".</w:t>
      </w:r>
    </w:p>
    <w:p>
      <w:pPr>
        <w:pStyle w:val="0"/>
        <w:spacing w:before="240" w:lineRule="auto"/>
        <w:ind w:firstLine="540"/>
        <w:jc w:val="both"/>
      </w:pPr>
      <w:r>
        <w:rPr>
          <w:sz w:val="24"/>
        </w:rPr>
        <w:t xml:space="preserve">12. В целях предоставления заявителям субсидий министерство заключает с Управлением Федеральной почтовой связи Амурской области (далее - УФПС Амурской области) договор о реализации ЕСПБ, зачислении денежных средств от реализации ЕСПБ в доход областного бюджета, представлении отчетности о проданных гражданам отдельных категорий ЕСПБ.</w:t>
      </w:r>
    </w:p>
    <w:p>
      <w:pPr>
        <w:pStyle w:val="0"/>
        <w:spacing w:before="240" w:lineRule="auto"/>
        <w:ind w:firstLine="540"/>
        <w:jc w:val="both"/>
      </w:pPr>
      <w:r>
        <w:rPr>
          <w:sz w:val="24"/>
        </w:rPr>
        <w:t xml:space="preserve">13. Объявление о проведении отбора размещается министерством на едином портале, а также на официальном сайте министерства в информационно-телекоммуникационной сети Интернет по адресу: </w:t>
      </w:r>
      <w:hyperlink w:history="0" r:id="rId43">
        <w:r>
          <w:rPr>
            <w:sz w:val="24"/>
            <w:color w:val="0000ff"/>
          </w:rPr>
          <w:t xml:space="preserve">http://www.szn.amurobl.ru</w:t>
        </w:r>
      </w:hyperlink>
      <w:r>
        <w:rPr>
          <w:sz w:val="24"/>
        </w:rPr>
        <w:t xml:space="preserve"> (далее - сайт министерства) не менее чем за 3 рабочих дня до начала срока приема заявлений и включает следующую информацию:</w:t>
      </w:r>
    </w:p>
    <w:p>
      <w:pPr>
        <w:pStyle w:val="0"/>
        <w:spacing w:before="240" w:lineRule="auto"/>
        <w:ind w:firstLine="540"/>
        <w:jc w:val="both"/>
      </w:pPr>
      <w:r>
        <w:rPr>
          <w:sz w:val="24"/>
        </w:rPr>
        <w:t xml:space="preserve">1) сроки проведения отбора;</w:t>
      </w:r>
    </w:p>
    <w:p>
      <w:pPr>
        <w:pStyle w:val="0"/>
        <w:spacing w:before="240" w:lineRule="auto"/>
        <w:ind w:firstLine="540"/>
        <w:jc w:val="both"/>
      </w:pPr>
      <w:r>
        <w:rPr>
          <w:sz w:val="24"/>
        </w:rPr>
        <w:t xml:space="preserve">2) дата и время начала подачи и окончания приема заявлений и документов, необходимых для участия в отборе (далее - документы), представляемых заявителями;</w:t>
      </w:r>
    </w:p>
    <w:p>
      <w:pPr>
        <w:pStyle w:val="0"/>
        <w:spacing w:before="240" w:lineRule="auto"/>
        <w:ind w:firstLine="540"/>
        <w:jc w:val="both"/>
      </w:pPr>
      <w:r>
        <w:rPr>
          <w:sz w:val="24"/>
        </w:rPr>
        <w:t xml:space="preserve">3) наименования, места нахождения, почтовые адреса, адреса электронной почты ГКУ-УСЗН;</w:t>
      </w:r>
    </w:p>
    <w:p>
      <w:pPr>
        <w:pStyle w:val="0"/>
        <w:spacing w:before="240" w:lineRule="auto"/>
        <w:ind w:firstLine="540"/>
        <w:jc w:val="both"/>
      </w:pPr>
      <w:r>
        <w:rPr>
          <w:sz w:val="24"/>
        </w:rPr>
        <w:t xml:space="preserve">4) результат предоставления субсидии;</w:t>
      </w:r>
    </w:p>
    <w:p>
      <w:pPr>
        <w:pStyle w:val="0"/>
        <w:spacing w:before="240" w:lineRule="auto"/>
        <w:ind w:firstLine="540"/>
        <w:jc w:val="both"/>
      </w:pPr>
      <w:r>
        <w:rPr>
          <w:sz w:val="24"/>
        </w:rPr>
        <w:t xml:space="preserve">5) доменное имя и (или) указатели страниц системы "Электронный бюджет";</w:t>
      </w:r>
    </w:p>
    <w:p>
      <w:pPr>
        <w:pStyle w:val="0"/>
        <w:spacing w:before="240" w:lineRule="auto"/>
        <w:ind w:firstLine="540"/>
        <w:jc w:val="both"/>
      </w:pPr>
      <w:r>
        <w:rPr>
          <w:sz w:val="24"/>
        </w:rPr>
        <w:t xml:space="preserve">6) требования, предъявляемые к заявителям, предусмотренные </w:t>
      </w:r>
      <w:hyperlink w:history="0" w:anchor="P119" w:tooltip="16. Для участия в отборе заявитель должен одновременно соответствовать следующим условиям:">
        <w:r>
          <w:rPr>
            <w:sz w:val="24"/>
            <w:color w:val="0000ff"/>
          </w:rPr>
          <w:t xml:space="preserve">пунктом 16</w:t>
        </w:r>
      </w:hyperlink>
      <w:r>
        <w:rPr>
          <w:sz w:val="24"/>
        </w:rPr>
        <w:t xml:space="preserve"> настоящего Порядка, и к перечню документов, представляемых заявителями для подтверждения их соответствия указанным требованиям;</w:t>
      </w:r>
    </w:p>
    <w:p>
      <w:pPr>
        <w:pStyle w:val="0"/>
        <w:spacing w:before="240" w:lineRule="auto"/>
        <w:ind w:firstLine="540"/>
        <w:jc w:val="both"/>
      </w:pPr>
      <w:r>
        <w:rPr>
          <w:sz w:val="24"/>
        </w:rPr>
        <w:t xml:space="preserve">7) категории и (или) критерии отбора;</w:t>
      </w:r>
    </w:p>
    <w:p>
      <w:pPr>
        <w:pStyle w:val="0"/>
        <w:spacing w:before="240" w:lineRule="auto"/>
        <w:ind w:firstLine="540"/>
        <w:jc w:val="both"/>
      </w:pPr>
      <w:r>
        <w:rPr>
          <w:sz w:val="24"/>
        </w:rPr>
        <w:t xml:space="preserve">8) порядок подачи заявлений и документов, требования, предъявляемые к форме и содержанию заявлений и документов;</w:t>
      </w:r>
    </w:p>
    <w:p>
      <w:pPr>
        <w:pStyle w:val="0"/>
        <w:spacing w:before="240" w:lineRule="auto"/>
        <w:ind w:firstLine="540"/>
        <w:jc w:val="both"/>
      </w:pPr>
      <w:r>
        <w:rPr>
          <w:sz w:val="24"/>
        </w:rPr>
        <w:t xml:space="preserve">9) порядок отзыва заявлений и документов, порядок возврата заявлений и документов, определяющий в том числе основания для возврата заявлений и документов, порядок внесения изменений в заявления и документы;</w:t>
      </w:r>
    </w:p>
    <w:p>
      <w:pPr>
        <w:pStyle w:val="0"/>
        <w:spacing w:before="240" w:lineRule="auto"/>
        <w:ind w:firstLine="540"/>
        <w:jc w:val="both"/>
      </w:pPr>
      <w:r>
        <w:rPr>
          <w:sz w:val="24"/>
        </w:rPr>
        <w:t xml:space="preserve">10) правила рассмотрения заявлений и документов, предусмотренные </w:t>
      </w:r>
      <w:hyperlink w:history="0" w:anchor="P172" w:tooltip="30. ГКУ-УСЗН в течение 10 рабочих дней со дня вскрытия заявлений осуществляет рассмотрение заявлений, в том числе определяет соответствие (несоответствие) заявителя условиям, установленным пунктом 16 настоящего Порядка, осуществляет проверку заявлений и документов, представленных заявителями, на соответствие требованиям к заявлениям и документам, установленным в объявлении о проведении отбора, предусмотренным пунктом 17 настоящего Порядка.">
        <w:r>
          <w:rPr>
            <w:sz w:val="24"/>
            <w:color w:val="0000ff"/>
          </w:rPr>
          <w:t xml:space="preserve">пунктами 30</w:t>
        </w:r>
      </w:hyperlink>
      <w:r>
        <w:rPr>
          <w:sz w:val="24"/>
        </w:rPr>
        <w:t xml:space="preserve"> - </w:t>
      </w:r>
      <w:hyperlink w:history="0" w:anchor="P180" w:tooltip="35. Протокол подведения итогов отбора включает следующие сведения:">
        <w:r>
          <w:rPr>
            <w:sz w:val="24"/>
            <w:color w:val="0000ff"/>
          </w:rPr>
          <w:t xml:space="preserve">35</w:t>
        </w:r>
      </w:hyperlink>
      <w:r>
        <w:rPr>
          <w:sz w:val="24"/>
        </w:rPr>
        <w:t xml:space="preserve">, </w:t>
      </w:r>
      <w:hyperlink w:history="0" w:anchor="P186" w:tooltip="37. Основаниями для отклонения заявления являются:">
        <w:r>
          <w:rPr>
            <w:sz w:val="24"/>
            <w:color w:val="0000ff"/>
          </w:rPr>
          <w:t xml:space="preserve">37</w:t>
        </w:r>
      </w:hyperlink>
      <w:r>
        <w:rPr>
          <w:sz w:val="24"/>
        </w:rPr>
        <w:t xml:space="preserve"> настоящего Порядка;</w:t>
      </w:r>
    </w:p>
    <w:p>
      <w:pPr>
        <w:pStyle w:val="0"/>
        <w:spacing w:before="240" w:lineRule="auto"/>
        <w:ind w:firstLine="540"/>
        <w:jc w:val="both"/>
      </w:pPr>
      <w:r>
        <w:rPr>
          <w:sz w:val="24"/>
        </w:rPr>
        <w:t xml:space="preserve">11) сведения о дне вскрытия заявлений, который не может быть ранее даты окончания приема заявлений и документов;</w:t>
      </w:r>
    </w:p>
    <w:p>
      <w:pPr>
        <w:pStyle w:val="0"/>
        <w:spacing w:before="240" w:lineRule="auto"/>
        <w:ind w:firstLine="540"/>
        <w:jc w:val="both"/>
      </w:pPr>
      <w:r>
        <w:rPr>
          <w:sz w:val="24"/>
        </w:rPr>
        <w:t xml:space="preserve">12) порядок возврата заявлений на доработку;</w:t>
      </w:r>
    </w:p>
    <w:p>
      <w:pPr>
        <w:pStyle w:val="0"/>
        <w:spacing w:before="240" w:lineRule="auto"/>
        <w:ind w:firstLine="540"/>
        <w:jc w:val="both"/>
      </w:pPr>
      <w:r>
        <w:rPr>
          <w:sz w:val="24"/>
        </w:rPr>
        <w:t xml:space="preserve">13) порядок отклонения заявлений, а также информация об основаниях их отклонения;</w:t>
      </w:r>
    </w:p>
    <w:p>
      <w:pPr>
        <w:pStyle w:val="0"/>
        <w:spacing w:before="240" w:lineRule="auto"/>
        <w:ind w:firstLine="540"/>
        <w:jc w:val="both"/>
      </w:pPr>
      <w:r>
        <w:rPr>
          <w:sz w:val="24"/>
        </w:rPr>
        <w:t xml:space="preserve">14) объем распределяемой субсидии в рамках отбора, порядок расчета размера субсидии, установленный настоящим Порядком, правила распределения субсидии по результатам отбора, которые могут включать максимальный, минимальный размер субсидии, предоставляемой победителю (победителям) отбора, а также предельное количество победителей отбора;</w:t>
      </w:r>
    </w:p>
    <w:p>
      <w:pPr>
        <w:pStyle w:val="0"/>
        <w:spacing w:before="240" w:lineRule="auto"/>
        <w:ind w:firstLine="540"/>
        <w:jc w:val="both"/>
      </w:pPr>
      <w:r>
        <w:rPr>
          <w:sz w:val="24"/>
        </w:rPr>
        <w:t xml:space="preserve">15) порядок представления заявителям разъяснений положений объявления о проведении отбора, даты начала и окончания срока такого представления;</w:t>
      </w:r>
    </w:p>
    <w:p>
      <w:pPr>
        <w:pStyle w:val="0"/>
        <w:spacing w:before="240" w:lineRule="auto"/>
        <w:ind w:firstLine="540"/>
        <w:jc w:val="both"/>
      </w:pPr>
      <w:r>
        <w:rPr>
          <w:sz w:val="24"/>
        </w:rPr>
        <w:t xml:space="preserve">16) срок, в течение которого победитель (победители) отбора должен (должны) подписать соглашение о предоставлении субсидии (далее - Соглашение);</w:t>
      </w:r>
    </w:p>
    <w:p>
      <w:pPr>
        <w:pStyle w:val="0"/>
        <w:spacing w:before="240" w:lineRule="auto"/>
        <w:ind w:firstLine="540"/>
        <w:jc w:val="both"/>
      </w:pPr>
      <w:r>
        <w:rPr>
          <w:sz w:val="24"/>
        </w:rPr>
        <w:t xml:space="preserve">17) условия признания победителя (победителей) отбора уклонившимся (уклонившимися) от заключения Соглашения;</w:t>
      </w:r>
    </w:p>
    <w:p>
      <w:pPr>
        <w:pStyle w:val="0"/>
        <w:spacing w:before="240" w:lineRule="auto"/>
        <w:ind w:firstLine="540"/>
        <w:jc w:val="both"/>
      </w:pPr>
      <w:r>
        <w:rPr>
          <w:sz w:val="24"/>
        </w:rPr>
        <w:t xml:space="preserve">18) срок размещения протокола подведения итогов отбора на едином портале, а также на сайте министерства, который не может быть позднее 14-го календарного дня, следующего за днем определения победителя (победителей) отбора.</w:t>
      </w:r>
    </w:p>
    <w:p>
      <w:pPr>
        <w:pStyle w:val="0"/>
        <w:spacing w:before="240" w:lineRule="auto"/>
        <w:ind w:firstLine="540"/>
        <w:jc w:val="both"/>
      </w:pPr>
      <w:r>
        <w:rPr>
          <w:sz w:val="24"/>
        </w:rPr>
        <w:t xml:space="preserve">14. В случае возникновения необходимости внесения изменений в объявление о проведении отбора министерство вносит соответствующие изменения в объявление о проведении отбора не позднее наступления даты окончания приема заявлений и документов с соблюдением следующих условий:</w:t>
      </w:r>
    </w:p>
    <w:p>
      <w:pPr>
        <w:pStyle w:val="0"/>
        <w:spacing w:before="240" w:lineRule="auto"/>
        <w:ind w:firstLine="540"/>
        <w:jc w:val="both"/>
      </w:pPr>
      <w:r>
        <w:rPr>
          <w:sz w:val="24"/>
        </w:rPr>
        <w:t xml:space="preserve">1) срок подачи заявлений и документов должен быть продлен таким образом, чтобы со дня, следующего за днем внесения изменений в объявление о проведении отбора, до даты окончания приема заявлений и документов указанный срок составлял не менее 3 календарных дней;</w:t>
      </w:r>
    </w:p>
    <w:p>
      <w:pPr>
        <w:pStyle w:val="0"/>
        <w:spacing w:before="240" w:lineRule="auto"/>
        <w:ind w:firstLine="540"/>
        <w:jc w:val="both"/>
      </w:pPr>
      <w:r>
        <w:rPr>
          <w:sz w:val="24"/>
        </w:rPr>
        <w:t xml:space="preserve">2) изменение способа отбора не допускается;</w:t>
      </w:r>
    </w:p>
    <w:p>
      <w:pPr>
        <w:pStyle w:val="0"/>
        <w:spacing w:before="240" w:lineRule="auto"/>
        <w:ind w:firstLine="540"/>
        <w:jc w:val="both"/>
      </w:pPr>
      <w:r>
        <w:rPr>
          <w:sz w:val="24"/>
        </w:rPr>
        <w:t xml:space="preserve">3) в случае внесения изменений в объявление о проведении отбора после наступления даты начала приема заявлений и документов в объявление о проведении отбора включается положение, предусматривающее право заявителей внести изменения в заявления и документы;</w:t>
      </w:r>
    </w:p>
    <w:p>
      <w:pPr>
        <w:pStyle w:val="0"/>
        <w:spacing w:before="240" w:lineRule="auto"/>
        <w:ind w:firstLine="540"/>
        <w:jc w:val="both"/>
      </w:pPr>
      <w:r>
        <w:rPr>
          <w:sz w:val="24"/>
        </w:rPr>
        <w:t xml:space="preserve">4) заявители, подавшие заявления, уведомляются о внесении изменений в объявление о проведении отбора не позднее дня, следующего за днем внесения изменений в объявление о проведении отбора, с использованием системы "Электронный бюджет".</w:t>
      </w:r>
    </w:p>
    <w:p>
      <w:pPr>
        <w:pStyle w:val="0"/>
        <w:spacing w:before="240" w:lineRule="auto"/>
        <w:ind w:firstLine="540"/>
        <w:jc w:val="both"/>
      </w:pPr>
      <w:r>
        <w:rPr>
          <w:sz w:val="24"/>
        </w:rPr>
        <w:t xml:space="preserve">15. Дата окончания приема заявлений и документов, представляемых заявителями, устанавливается министерством и не может быть ранее 10-го календарного дня, следующего за днем размещения объявления о проведении отбора.</w:t>
      </w:r>
    </w:p>
    <w:bookmarkStart w:id="119" w:name="P119"/>
    <w:bookmarkEnd w:id="119"/>
    <w:p>
      <w:pPr>
        <w:pStyle w:val="0"/>
        <w:spacing w:before="240" w:lineRule="auto"/>
        <w:ind w:firstLine="540"/>
        <w:jc w:val="both"/>
      </w:pPr>
      <w:r>
        <w:rPr>
          <w:sz w:val="24"/>
        </w:rPr>
        <w:t xml:space="preserve">16. Для участия в отборе заявитель должен одновременно соответствовать следующим условиям:</w:t>
      </w:r>
    </w:p>
    <w:p>
      <w:pPr>
        <w:pStyle w:val="0"/>
        <w:spacing w:before="240" w:lineRule="auto"/>
        <w:ind w:firstLine="540"/>
        <w:jc w:val="both"/>
      </w:pPr>
      <w:r>
        <w:rPr>
          <w:sz w:val="24"/>
        </w:rPr>
        <w:t xml:space="preserve">1) наличие у заявителя карты маршрута регулярных перевозок, выданной в соответствии с Федеральным </w:t>
      </w:r>
      <w:hyperlink w:history="0" r:id="rId44"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quot; (с изм. и доп., вступ. в силу с 01.09.2024) ------------ Недействующая редакция {КонсультантПлюс}">
        <w:r>
          <w:rPr>
            <w:sz w:val="24"/>
            <w:color w:val="0000ff"/>
          </w:rPr>
          <w:t xml:space="preserve">законом</w:t>
        </w:r>
      </w:hyperlink>
      <w:r>
        <w:rPr>
          <w:sz w:val="24"/>
        </w:rPr>
        <w:t xml:space="preserve"> от 13 июля 2015 г. N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(далее - карта маршрута);</w:t>
      </w:r>
    </w:p>
    <w:bookmarkStart w:id="121" w:name="P121"/>
    <w:bookmarkEnd w:id="121"/>
    <w:p>
      <w:pPr>
        <w:pStyle w:val="0"/>
        <w:spacing w:before="240" w:lineRule="auto"/>
        <w:ind w:firstLine="540"/>
        <w:jc w:val="both"/>
      </w:pPr>
      <w:r>
        <w:rPr>
          <w:sz w:val="24"/>
        </w:rPr>
        <w:t xml:space="preserve">2) соответствие заявителя (по состоянию на даты рассмотрения заявления и заключения Соглашения) следующим требованиям:</w:t>
      </w:r>
    </w:p>
    <w:p>
      <w:pPr>
        <w:pStyle w:val="0"/>
        <w:spacing w:before="240" w:lineRule="auto"/>
        <w:ind w:firstLine="540"/>
        <w:jc w:val="both"/>
      </w:pPr>
      <w:r>
        <w:rPr>
          <w:sz w:val="24"/>
        </w:rPr>
        <w:t xml:space="preserve">а) заявитель не должен являться иностранным юридическим лицом, в том числе местом регистрации которого является государство или территория, включенные в утвержденный Министерством финансов Российской Федерации перечень государств и территорий, используемых для промежуточного (офшорного) владения активами в Российской Федерации (далее - офшорные компании), а также российским юридическим лицом, в уставном (складочном) капитале которого доля прямого или косвенного (через третьих лиц) участия офшорных компаний в совокупности превышает 25 процентов (если иное не предусмотрено законодательством Российской Федерации). При расчете доли участия офшорных компаний в капитале российских юридических лиц не учитывается прямое и (или) косвенное участие офшорных компаний в капитале публичных акционерных обществ (в том числе со статусом международной компании), акции которых обращаются на организованных торгах в Российской Федерации, а также косвенное участие офшорных компаний в капитале других российских юридических лиц, реализованное через участие в капитале указанных публичных акционерных обществ;</w:t>
      </w:r>
    </w:p>
    <w:p>
      <w:pPr>
        <w:pStyle w:val="0"/>
        <w:spacing w:before="240" w:lineRule="auto"/>
        <w:ind w:firstLine="540"/>
        <w:jc w:val="both"/>
      </w:pPr>
      <w:r>
        <w:rPr>
          <w:sz w:val="24"/>
        </w:rPr>
        <w:t xml:space="preserve">б) заявитель не должен находиться в перечне организаций и физических лиц, в отношении которых имеются сведения об их причастности к экстремистской деятельности или терроризму;</w:t>
      </w:r>
    </w:p>
    <w:p>
      <w:pPr>
        <w:pStyle w:val="0"/>
        <w:spacing w:before="240" w:lineRule="auto"/>
        <w:ind w:firstLine="540"/>
        <w:jc w:val="both"/>
      </w:pPr>
      <w:r>
        <w:rPr>
          <w:sz w:val="24"/>
        </w:rPr>
        <w:t xml:space="preserve">в) заявитель не должен находиться в составляемых в рамках реализации полномочий, предусмотренных </w:t>
      </w:r>
      <w:hyperlink w:history="0" r:id="rId45" w:tooltip="Ссылка на КонсультантПлюс">
        <w:r>
          <w:rPr>
            <w:sz w:val="24"/>
            <w:color w:val="0000ff"/>
          </w:rPr>
          <w:t xml:space="preserve">главой VII</w:t>
        </w:r>
      </w:hyperlink>
      <w:r>
        <w:rPr>
          <w:sz w:val="24"/>
        </w:rPr>
        <w:t xml:space="preserve"> Устава ООН, Советом Безопасности ООН или органами, специально созданными решениями Совета Безопасности ООН, перечнях организаций и физических лиц, связанных с террористическими организациями и террористами или с распространением оружия массового уничтожения;</w:t>
      </w:r>
    </w:p>
    <w:p>
      <w:pPr>
        <w:pStyle w:val="0"/>
        <w:spacing w:before="240" w:lineRule="auto"/>
        <w:ind w:firstLine="540"/>
        <w:jc w:val="both"/>
      </w:pPr>
      <w:r>
        <w:rPr>
          <w:sz w:val="24"/>
        </w:rPr>
        <w:t xml:space="preserve">г) заявитель не должен являться иностранным агентом в соответствии с Федеральным </w:t>
      </w:r>
      <w:hyperlink w:history="0" r:id="rId46"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4"/>
            <w:color w:val="0000ff"/>
          </w:rPr>
          <w:t xml:space="preserve">законом</w:t>
        </w:r>
      </w:hyperlink>
      <w:r>
        <w:rPr>
          <w:sz w:val="24"/>
        </w:rPr>
        <w:t xml:space="preserve"> от 14 июля 2022 г. N 255-ФЗ "О контроле за деятельностью лиц, находящихся под иностранным влиянием";</w:t>
      </w:r>
    </w:p>
    <w:p>
      <w:pPr>
        <w:pStyle w:val="0"/>
        <w:spacing w:before="240" w:lineRule="auto"/>
        <w:ind w:firstLine="540"/>
        <w:jc w:val="both"/>
      </w:pPr>
      <w:r>
        <w:rPr>
          <w:sz w:val="24"/>
        </w:rPr>
        <w:t xml:space="preserve">д) заявитель не должен получать средства из областного бюджета на основании иных нормативных правовых актов Амурской области на цели, указанные в </w:t>
      </w:r>
      <w:hyperlink w:history="0" w:anchor="P77" w:tooltip="7. Субсидия предоставляется в целях социальной поддержки отдельных категорий граждан (в части возмещения расходов за проезд граждан отдельных категорий с использованием ЕСПБ).">
        <w:r>
          <w:rPr>
            <w:sz w:val="24"/>
            <w:color w:val="0000ff"/>
          </w:rPr>
          <w:t xml:space="preserve">пункте 7</w:t>
        </w:r>
      </w:hyperlink>
      <w:r>
        <w:rPr>
          <w:sz w:val="24"/>
        </w:rPr>
        <w:t xml:space="preserve"> настоящего Порядка;</w:t>
      </w:r>
    </w:p>
    <w:p>
      <w:pPr>
        <w:pStyle w:val="0"/>
        <w:spacing w:before="240" w:lineRule="auto"/>
        <w:ind w:firstLine="540"/>
        <w:jc w:val="both"/>
      </w:pPr>
      <w:r>
        <w:rPr>
          <w:sz w:val="24"/>
        </w:rPr>
        <w:t xml:space="preserve">е) заявитель - юридическое лицо не должен находиться в процессе реорганизации (за исключением реорганизации в форме присоединения к заявителю другого юридического лица), ликвидации, в отношении него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заявитель - индивидуальный предприниматель не должен прекратить деятельность в качестве индивидуального предпринимателя.</w:t>
      </w:r>
    </w:p>
    <w:bookmarkStart w:id="128" w:name="P128"/>
    <w:bookmarkEnd w:id="128"/>
    <w:p>
      <w:pPr>
        <w:pStyle w:val="0"/>
        <w:spacing w:before="240" w:lineRule="auto"/>
        <w:ind w:firstLine="540"/>
        <w:jc w:val="both"/>
      </w:pPr>
      <w:r>
        <w:rPr>
          <w:sz w:val="24"/>
        </w:rPr>
        <w:t xml:space="preserve">17. Для участия в отборе заявители представляют:</w:t>
      </w:r>
    </w:p>
    <w:p>
      <w:pPr>
        <w:pStyle w:val="0"/>
        <w:spacing w:before="240" w:lineRule="auto"/>
        <w:ind w:firstLine="540"/>
        <w:jc w:val="both"/>
      </w:pPr>
      <w:r>
        <w:rPr>
          <w:sz w:val="24"/>
        </w:rPr>
        <w:t xml:space="preserve">1) заявление, включающее следующие сведения:</w:t>
      </w:r>
    </w:p>
    <w:p>
      <w:pPr>
        <w:pStyle w:val="0"/>
        <w:spacing w:before="240" w:lineRule="auto"/>
        <w:ind w:firstLine="540"/>
        <w:jc w:val="both"/>
      </w:pPr>
      <w:r>
        <w:rPr>
          <w:sz w:val="24"/>
        </w:rPr>
        <w:t xml:space="preserve">а) информация о заявителе:</w:t>
      </w:r>
    </w:p>
    <w:p>
      <w:pPr>
        <w:pStyle w:val="0"/>
        <w:spacing w:before="240" w:lineRule="auto"/>
        <w:ind w:firstLine="540"/>
        <w:jc w:val="both"/>
      </w:pPr>
      <w:r>
        <w:rPr>
          <w:sz w:val="24"/>
        </w:rPr>
        <w:t xml:space="preserve">полное и сокращенное наименования заявителя (для юридических лиц);</w:t>
      </w:r>
    </w:p>
    <w:p>
      <w:pPr>
        <w:pStyle w:val="0"/>
        <w:spacing w:before="240" w:lineRule="auto"/>
        <w:ind w:firstLine="540"/>
        <w:jc w:val="both"/>
      </w:pPr>
      <w:r>
        <w:rPr>
          <w:sz w:val="24"/>
        </w:rPr>
        <w:t xml:space="preserve">фамилия, имя, отчество (при наличии), пол и сведения о паспорте гражданина Российской Федерации (паспорте иностранного гражданина), включающие в себя информацию о его серии, номере и дате выдачи, а также о наименовании органа и коде подразделения органа, выдавшего документ (при наличии), дате и месте рождения (для индивидуальных предпринимателей);</w:t>
      </w:r>
    </w:p>
    <w:p>
      <w:pPr>
        <w:pStyle w:val="0"/>
        <w:spacing w:before="240" w:lineRule="auto"/>
        <w:ind w:firstLine="540"/>
        <w:jc w:val="both"/>
      </w:pPr>
      <w:r>
        <w:rPr>
          <w:sz w:val="24"/>
        </w:rPr>
        <w:t xml:space="preserve">основной государственный регистрационный номер заявителя;</w:t>
      </w:r>
    </w:p>
    <w:p>
      <w:pPr>
        <w:pStyle w:val="0"/>
        <w:spacing w:before="240" w:lineRule="auto"/>
        <w:ind w:firstLine="540"/>
        <w:jc w:val="both"/>
      </w:pPr>
      <w:r>
        <w:rPr>
          <w:sz w:val="24"/>
        </w:rPr>
        <w:t xml:space="preserve">идентификационный номер налогоплательщика;</w:t>
      </w:r>
    </w:p>
    <w:p>
      <w:pPr>
        <w:pStyle w:val="0"/>
        <w:spacing w:before="240" w:lineRule="auto"/>
        <w:ind w:firstLine="540"/>
        <w:jc w:val="both"/>
      </w:pPr>
      <w:r>
        <w:rPr>
          <w:sz w:val="24"/>
        </w:rPr>
        <w:t xml:space="preserve">дата постановки на учет в налоговом органе (для индивидуальных предпринимателей);</w:t>
      </w:r>
    </w:p>
    <w:p>
      <w:pPr>
        <w:pStyle w:val="0"/>
        <w:spacing w:before="240" w:lineRule="auto"/>
        <w:ind w:firstLine="540"/>
        <w:jc w:val="both"/>
      </w:pPr>
      <w:r>
        <w:rPr>
          <w:sz w:val="24"/>
        </w:rPr>
        <w:t xml:space="preserve">дата и код причины постановки на учет в налоговом органе (для юридических лиц);</w:t>
      </w:r>
    </w:p>
    <w:p>
      <w:pPr>
        <w:pStyle w:val="0"/>
        <w:spacing w:before="240" w:lineRule="auto"/>
        <w:ind w:firstLine="540"/>
        <w:jc w:val="both"/>
      </w:pPr>
      <w:r>
        <w:rPr>
          <w:sz w:val="24"/>
        </w:rPr>
        <w:t xml:space="preserve">дата государственной регистрации физического лица в качестве индивидуального предпринимателя (для индивидуальных предпринимателей);</w:t>
      </w:r>
    </w:p>
    <w:p>
      <w:pPr>
        <w:pStyle w:val="0"/>
        <w:spacing w:before="240" w:lineRule="auto"/>
        <w:ind w:firstLine="540"/>
        <w:jc w:val="both"/>
      </w:pPr>
      <w:r>
        <w:rPr>
          <w:sz w:val="24"/>
        </w:rPr>
        <w:t xml:space="preserve">страховой номер индивидуального лицевого счета (для индивидуальных предпринимателей);</w:t>
      </w:r>
    </w:p>
    <w:p>
      <w:pPr>
        <w:pStyle w:val="0"/>
        <w:spacing w:before="240" w:lineRule="auto"/>
        <w:ind w:firstLine="540"/>
        <w:jc w:val="both"/>
      </w:pPr>
      <w:r>
        <w:rPr>
          <w:sz w:val="24"/>
        </w:rPr>
        <w:t xml:space="preserve">адрес юридического лица, адрес регистрации индивидуального предпринимателя;</w:t>
      </w:r>
    </w:p>
    <w:p>
      <w:pPr>
        <w:pStyle w:val="0"/>
        <w:spacing w:before="240" w:lineRule="auto"/>
        <w:ind w:firstLine="540"/>
        <w:jc w:val="both"/>
      </w:pPr>
      <w:r>
        <w:rPr>
          <w:sz w:val="24"/>
        </w:rPr>
        <w:t xml:space="preserve">номер контактного телефона, почтовый адрес и адрес электронной почты для направления юридически значимых сообщений;</w:t>
      </w:r>
    </w:p>
    <w:p>
      <w:pPr>
        <w:pStyle w:val="0"/>
        <w:spacing w:before="240" w:lineRule="auto"/>
        <w:ind w:firstLine="540"/>
        <w:jc w:val="both"/>
      </w:pPr>
      <w:r>
        <w:rPr>
          <w:sz w:val="24"/>
        </w:rPr>
        <w:t xml:space="preserve">фамилия, имя, отчество (при наличии) и идентификационный номер налогоплательщика главного бухгалтера (при наличии), фамилии, имена, отчества (при наличии) учредителей, членов коллегиального исполнительного органа, лица, исполняющего функции единоличного исполнительного органа (для юридических лиц);</w:t>
      </w:r>
    </w:p>
    <w:p>
      <w:pPr>
        <w:pStyle w:val="0"/>
        <w:spacing w:before="240" w:lineRule="auto"/>
        <w:ind w:firstLine="540"/>
        <w:jc w:val="both"/>
      </w:pPr>
      <w:r>
        <w:rPr>
          <w:sz w:val="24"/>
        </w:rPr>
        <w:t xml:space="preserve">информация о руководителе юридического лица (фамилия, имя, отчество (при наличии), идентификационный номер налогоплательщика, должность) (для юридических лиц);</w:t>
      </w:r>
    </w:p>
    <w:p>
      <w:pPr>
        <w:pStyle w:val="0"/>
        <w:spacing w:before="240" w:lineRule="auto"/>
        <w:ind w:firstLine="540"/>
        <w:jc w:val="both"/>
      </w:pPr>
      <w:r>
        <w:rPr>
          <w:sz w:val="24"/>
        </w:rPr>
        <w:t xml:space="preserve">перечень основных и дополнительных видов деятельности, которые заявитель вправе осуществлять в соответствии с учредительными документами организации (для юридических лиц) или в соответствии со сведениями Единого государственного реестра индивидуальных предпринимателей (для индивидуальных предпринимателей);</w:t>
      </w:r>
    </w:p>
    <w:p>
      <w:pPr>
        <w:pStyle w:val="0"/>
        <w:spacing w:before="240" w:lineRule="auto"/>
        <w:ind w:firstLine="540"/>
        <w:jc w:val="both"/>
      </w:pPr>
      <w:r>
        <w:rPr>
          <w:sz w:val="24"/>
        </w:rPr>
        <w:t xml:space="preserve">информация о счетах в соответствии с законодательством Российской Федерации для перечисления субсидии, а также о лице, уполномоченном на подписание Соглашения;</w:t>
      </w:r>
    </w:p>
    <w:p>
      <w:pPr>
        <w:pStyle w:val="0"/>
        <w:spacing w:before="240" w:lineRule="auto"/>
        <w:ind w:firstLine="540"/>
        <w:jc w:val="both"/>
      </w:pPr>
      <w:r>
        <w:rPr>
          <w:sz w:val="24"/>
        </w:rPr>
        <w:t xml:space="preserve">б) информация и документы, подтверждающие соответствие заявителя установленным в объявлении о проведении отбора требованиям, предусмотренным </w:t>
      </w:r>
      <w:hyperlink w:history="0" w:anchor="P119" w:tooltip="16. Для участия в отборе заявитель должен одновременно соответствовать следующим условиям:">
        <w:r>
          <w:rPr>
            <w:sz w:val="24"/>
            <w:color w:val="0000ff"/>
          </w:rPr>
          <w:t xml:space="preserve">пунктом 16</w:t>
        </w:r>
      </w:hyperlink>
      <w:r>
        <w:rPr>
          <w:sz w:val="24"/>
        </w:rPr>
        <w:t xml:space="preserve"> настоящего Порядка;</w:t>
      </w:r>
    </w:p>
    <w:p>
      <w:pPr>
        <w:pStyle w:val="0"/>
        <w:spacing w:before="240" w:lineRule="auto"/>
        <w:ind w:firstLine="540"/>
        <w:jc w:val="both"/>
      </w:pPr>
      <w:r>
        <w:rPr>
          <w:sz w:val="24"/>
        </w:rPr>
        <w:t xml:space="preserve">в) информация и документы, представляемые при проведении отбора в процессе документооборота:</w:t>
      </w:r>
    </w:p>
    <w:p>
      <w:pPr>
        <w:pStyle w:val="0"/>
        <w:spacing w:before="240" w:lineRule="auto"/>
        <w:ind w:firstLine="540"/>
        <w:jc w:val="both"/>
      </w:pPr>
      <w:r>
        <w:rPr>
          <w:sz w:val="24"/>
        </w:rPr>
        <w:t xml:space="preserve">подтверждение согласия на публикацию (размещение) в информационно-телекоммуникационной сети Интернет информации о заявителе, о подаваемом заявителем заявлении, а также иной информации о заявителе, связанной с отбором и результатом предоставления субсидии;</w:t>
      </w:r>
    </w:p>
    <w:p>
      <w:pPr>
        <w:pStyle w:val="0"/>
        <w:spacing w:before="240" w:lineRule="auto"/>
        <w:ind w:firstLine="540"/>
        <w:jc w:val="both"/>
      </w:pPr>
      <w:r>
        <w:rPr>
          <w:sz w:val="24"/>
        </w:rPr>
        <w:t xml:space="preserve">подтверждение согласия (несогласия) на предоставление субсидии в пределах остатка бюджетных ассигнований и лимитов бюджетных обязательств, предусмотренных министерству на предоставление субсидии на текущий финансовый год;</w:t>
      </w:r>
    </w:p>
    <w:p>
      <w:pPr>
        <w:pStyle w:val="0"/>
        <w:spacing w:before="240" w:lineRule="auto"/>
        <w:ind w:firstLine="540"/>
        <w:jc w:val="both"/>
      </w:pPr>
      <w:r>
        <w:rPr>
          <w:sz w:val="24"/>
        </w:rPr>
        <w:t xml:space="preserve">подтверждение согласия на обработку персональных данных заявителя (для индивидуальных предпринимателей);</w:t>
      </w:r>
    </w:p>
    <w:p>
      <w:pPr>
        <w:pStyle w:val="0"/>
        <w:spacing w:before="240" w:lineRule="auto"/>
        <w:ind w:firstLine="540"/>
        <w:jc w:val="both"/>
      </w:pPr>
      <w:r>
        <w:rPr>
          <w:sz w:val="24"/>
        </w:rPr>
        <w:t xml:space="preserve">г) предлагаемые заявителем значения результата предоставления субсидии и размер запрашиваемой субсидии;</w:t>
      </w:r>
    </w:p>
    <w:p>
      <w:pPr>
        <w:pStyle w:val="0"/>
        <w:spacing w:before="240" w:lineRule="auto"/>
        <w:ind w:firstLine="540"/>
        <w:jc w:val="both"/>
      </w:pPr>
      <w:r>
        <w:rPr>
          <w:sz w:val="24"/>
        </w:rPr>
        <w:t xml:space="preserve">2) карту маршрута.</w:t>
      </w:r>
    </w:p>
    <w:p>
      <w:pPr>
        <w:pStyle w:val="0"/>
        <w:spacing w:before="240" w:lineRule="auto"/>
        <w:ind w:firstLine="540"/>
        <w:jc w:val="both"/>
      </w:pPr>
      <w:r>
        <w:rPr>
          <w:sz w:val="24"/>
        </w:rPr>
        <w:t xml:space="preserve">18. ГКУ-УСЗН в целях подтверждения соответствия заявителя требованиям, установленным </w:t>
      </w:r>
      <w:hyperlink w:history="0" w:anchor="P121" w:tooltip="2) соответствие заявителя (по состоянию на даты рассмотрения заявления и заключения Соглашения) следующим требованиям:">
        <w:r>
          <w:rPr>
            <w:sz w:val="24"/>
            <w:color w:val="0000ff"/>
          </w:rPr>
          <w:t xml:space="preserve">подпунктом 2 пункта 16</w:t>
        </w:r>
      </w:hyperlink>
      <w:r>
        <w:rPr>
          <w:sz w:val="24"/>
        </w:rPr>
        <w:t xml:space="preserve"> настоящего Порядка, не вправе требовать от заявителя представления документов и информации при наличии соответствующей информации в государственных информационных системах, доступ к которым у ГКУ-УСЗН имеется в рамках межведомственного электронного взаимодействия, за исключением случая, если заявитель готов представить указанные документы и информацию ГКУ-УСЗН по собственной инициативе.</w:t>
      </w:r>
    </w:p>
    <w:p>
      <w:pPr>
        <w:pStyle w:val="0"/>
        <w:spacing w:before="240" w:lineRule="auto"/>
        <w:ind w:firstLine="540"/>
        <w:jc w:val="both"/>
      </w:pPr>
      <w:r>
        <w:rPr>
          <w:sz w:val="24"/>
        </w:rPr>
        <w:t xml:space="preserve">19. Проверка заявителя на соответствие требованиям, установленным </w:t>
      </w:r>
      <w:hyperlink w:history="0" w:anchor="P121" w:tooltip="2) соответствие заявителя (по состоянию на даты рассмотрения заявления и заключения Соглашения) следующим требованиям:">
        <w:r>
          <w:rPr>
            <w:sz w:val="24"/>
            <w:color w:val="0000ff"/>
          </w:rPr>
          <w:t xml:space="preserve">подпунктом 2 пункта 16</w:t>
        </w:r>
      </w:hyperlink>
      <w:r>
        <w:rPr>
          <w:sz w:val="24"/>
        </w:rPr>
        <w:t xml:space="preserve"> настоящего Порядка, осуществляется автоматически в системе "Электронный бюджет" на основании данных государственных информационных систем, в том числе с использованием единой системы межведомственного электронного взаимодействия (при наличии технической возможности автоматической проверки).</w:t>
      </w:r>
    </w:p>
    <w:p>
      <w:pPr>
        <w:pStyle w:val="0"/>
        <w:spacing w:before="240" w:lineRule="auto"/>
        <w:ind w:firstLine="540"/>
        <w:jc w:val="both"/>
      </w:pPr>
      <w:r>
        <w:rPr>
          <w:sz w:val="24"/>
        </w:rPr>
        <w:t xml:space="preserve">20. Подтверждение соответствия заявителя требованиям, установленным </w:t>
      </w:r>
      <w:hyperlink w:history="0" w:anchor="P121" w:tooltip="2) соответствие заявителя (по состоянию на даты рассмотрения заявления и заключения Соглашения) следующим требованиям:">
        <w:r>
          <w:rPr>
            <w:sz w:val="24"/>
            <w:color w:val="0000ff"/>
          </w:rPr>
          <w:t xml:space="preserve">подпунктом 2 пункта 16</w:t>
        </w:r>
      </w:hyperlink>
      <w:r>
        <w:rPr>
          <w:sz w:val="24"/>
        </w:rPr>
        <w:t xml:space="preserve"> настоящего Порядка, в случае отсутствия технической возможности осуществления автоматической проверки в системе "Электронный бюджет" производится путем проставления в электронном виде заявителем отметок о соответствии указанным требованиям посредством заполнения соответствующих экранных форм веб-интерфейса системы "Электронный бюджет".</w:t>
      </w:r>
    </w:p>
    <w:p>
      <w:pPr>
        <w:pStyle w:val="0"/>
        <w:spacing w:before="240" w:lineRule="auto"/>
        <w:ind w:firstLine="540"/>
        <w:jc w:val="both"/>
      </w:pPr>
      <w:r>
        <w:rPr>
          <w:sz w:val="24"/>
        </w:rPr>
        <w:t xml:space="preserve">21. Формирование заявителями заявлений осуществляется в электронной форме посредством заполнения соответствующих экранных форм веб-интерфейса системы "Электронный бюджет" и представления в систему "Электронный бюджет" электронных копий документов (документов на бумажных носителях, преобразованных в электронную форму путем сканирования).</w:t>
      </w:r>
    </w:p>
    <w:p>
      <w:pPr>
        <w:pStyle w:val="0"/>
        <w:spacing w:before="240" w:lineRule="auto"/>
        <w:ind w:firstLine="540"/>
        <w:jc w:val="both"/>
      </w:pPr>
      <w:r>
        <w:rPr>
          <w:sz w:val="24"/>
        </w:rPr>
        <w:t xml:space="preserve">Ответственность за полноту и достоверность информации и документов несет заявитель в соответствии с законодательством Российской Федерации.</w:t>
      </w:r>
    </w:p>
    <w:p>
      <w:pPr>
        <w:pStyle w:val="0"/>
        <w:spacing w:before="240" w:lineRule="auto"/>
        <w:ind w:firstLine="540"/>
        <w:jc w:val="both"/>
      </w:pPr>
      <w:r>
        <w:rPr>
          <w:sz w:val="24"/>
        </w:rPr>
        <w:t xml:space="preserve">22. Заявление в системе "Электронный бюджет" подписывается усиленной квалифицированной электронной подписью заявителя или уполномоченного им лица.</w:t>
      </w:r>
    </w:p>
    <w:p>
      <w:pPr>
        <w:pStyle w:val="0"/>
        <w:spacing w:before="240" w:lineRule="auto"/>
        <w:ind w:firstLine="540"/>
        <w:jc w:val="both"/>
      </w:pPr>
      <w:r>
        <w:rPr>
          <w:sz w:val="24"/>
        </w:rPr>
        <w:t xml:space="preserve">23. Датой и временем представления заявителем заявления считаются дата и время подписания заявления с присвоением ему регистрационного номера в системе "Электронный бюджет".</w:t>
      </w:r>
    </w:p>
    <w:p>
      <w:pPr>
        <w:pStyle w:val="0"/>
        <w:spacing w:before="240" w:lineRule="auto"/>
        <w:ind w:firstLine="540"/>
        <w:jc w:val="both"/>
      </w:pPr>
      <w:r>
        <w:rPr>
          <w:sz w:val="24"/>
        </w:rPr>
        <w:t xml:space="preserve">24. Ранжирование поступивших заявлений осуществляется исходя из очередности поступления заявлений.</w:t>
      </w:r>
    </w:p>
    <w:bookmarkStart w:id="160" w:name="P160"/>
    <w:bookmarkEnd w:id="160"/>
    <w:p>
      <w:pPr>
        <w:pStyle w:val="0"/>
        <w:spacing w:before="240" w:lineRule="auto"/>
        <w:ind w:firstLine="540"/>
        <w:jc w:val="both"/>
      </w:pPr>
      <w:r>
        <w:rPr>
          <w:sz w:val="24"/>
        </w:rPr>
        <w:t xml:space="preserve">25. Заявитель со дня размещения объявления о проведении отбора на едином портале не позднее 3-го рабочего дня до даты окончания приема заявлений и документов вправе направить в ГКУ-УСЗН не более 5 запросов о разъяснении положений объявления о проведении отбора путем формирования в системе "Электронный бюджет" соответствующего запроса.</w:t>
      </w:r>
    </w:p>
    <w:bookmarkStart w:id="161" w:name="P161"/>
    <w:bookmarkEnd w:id="161"/>
    <w:p>
      <w:pPr>
        <w:pStyle w:val="0"/>
        <w:spacing w:before="240" w:lineRule="auto"/>
        <w:ind w:firstLine="540"/>
        <w:jc w:val="both"/>
      </w:pPr>
      <w:r>
        <w:rPr>
          <w:sz w:val="24"/>
        </w:rPr>
        <w:t xml:space="preserve">ГКУ-УСЗН в ответ на запрос, указанный в </w:t>
      </w:r>
      <w:hyperlink w:history="0" w:anchor="P160" w:tooltip="25. Заявитель со дня размещения объявления о проведении отбора на едином портале не позднее 3-го рабочего дня до даты окончания приема заявлений и документов вправе направить в ГКУ-УСЗН не более 5 запросов о разъяснении положений объявления о проведении отбора путем формирования в системе &quot;Электронный бюджет&quot; соответствующего запроса.">
        <w:r>
          <w:rPr>
            <w:sz w:val="24"/>
            <w:color w:val="0000ff"/>
          </w:rPr>
          <w:t xml:space="preserve">абзаце первом</w:t>
        </w:r>
      </w:hyperlink>
      <w:r>
        <w:rPr>
          <w:sz w:val="24"/>
        </w:rPr>
        <w:t xml:space="preserve"> настоящего пункта, направляет разъяснение положений объявления о проведении отбора в срок, установленный объявлением о проведении отбора, но не позднее 1 рабочего дня до даты окончания приема заявлений и документов путем формирования в системе "Электронный бюджет" соответствующего разъяснения. Представленное ГКУ-УСЗН разъяснение положений объявления о проведении отбора не должно изменять суть информации, содержащейся в объявлении о проведении отбора.</w:t>
      </w:r>
    </w:p>
    <w:p>
      <w:pPr>
        <w:pStyle w:val="0"/>
        <w:spacing w:before="240" w:lineRule="auto"/>
        <w:ind w:firstLine="540"/>
        <w:jc w:val="both"/>
      </w:pPr>
      <w:r>
        <w:rPr>
          <w:sz w:val="24"/>
        </w:rPr>
        <w:t xml:space="preserve">Доступ к разъяснению, формируемому в системе "Электронный бюджет" в соответствии с </w:t>
      </w:r>
      <w:hyperlink w:history="0" w:anchor="P161" w:tooltip="ГКУ-УСЗН в ответ на запрос, указанный в абзаце первом настоящего пункта, направляет разъяснение положений объявления о проведении отбора в срок, установленный объявлением о проведении отбора, но не позднее 1 рабочего дня до даты окончания приема заявлений и документов путем формирования в системе &quot;Электронный бюджет&quot; соответствующего разъяснения. Представленное ГКУ-УСЗН разъяснение положений объявления о проведении отбора не должно изменять суть информации, содержащейся в объявлении о проведении отбора.">
        <w:r>
          <w:rPr>
            <w:sz w:val="24"/>
            <w:color w:val="0000ff"/>
          </w:rPr>
          <w:t xml:space="preserve">абзацем вторым</w:t>
        </w:r>
      </w:hyperlink>
      <w:r>
        <w:rPr>
          <w:sz w:val="24"/>
        </w:rPr>
        <w:t xml:space="preserve"> настоящего пункта, предоставляется всем заявителям.</w:t>
      </w:r>
    </w:p>
    <w:p>
      <w:pPr>
        <w:pStyle w:val="0"/>
        <w:spacing w:before="240" w:lineRule="auto"/>
        <w:ind w:firstLine="540"/>
        <w:jc w:val="both"/>
      </w:pPr>
      <w:r>
        <w:rPr>
          <w:sz w:val="24"/>
        </w:rPr>
        <w:t xml:space="preserve">26. Заявитель не позднее даты окончания приема заявлений и документов вправе внести изменения в заявление и (или) в представленные с заявлением электронные копии документов путем заполнения соответствующих экранных форм веб-интерфейса системы "Электронный бюджет" и (или) представления в систему "Электронный бюджет" электронных копий необходимых документов.</w:t>
      </w:r>
    </w:p>
    <w:p>
      <w:pPr>
        <w:pStyle w:val="0"/>
        <w:spacing w:before="240" w:lineRule="auto"/>
        <w:ind w:firstLine="540"/>
        <w:jc w:val="both"/>
      </w:pPr>
      <w:r>
        <w:rPr>
          <w:sz w:val="24"/>
        </w:rPr>
        <w:t xml:space="preserve">27. С даты окончания приема заявлений и документов ГКУ-УСЗН в системе "Электронный бюджет" открывается доступ к поданным заявителями заявлениям для их рассмотрения.</w:t>
      </w:r>
    </w:p>
    <w:p>
      <w:pPr>
        <w:pStyle w:val="0"/>
        <w:spacing w:before="240" w:lineRule="auto"/>
        <w:ind w:firstLine="540"/>
        <w:jc w:val="both"/>
      </w:pPr>
      <w:r>
        <w:rPr>
          <w:sz w:val="24"/>
        </w:rPr>
        <w:t xml:space="preserve">28. Протокол вскрытия заявлений автоматически формируется на едином портале, подписывается усиленной квалифицированной электронной подписью руководителя ГКУ-УСЗН, уполномоченного министром социальной защиты населения Амурской области, в системе "Электронный бюджет" не позднее 1 рабочего дня, следующего за днем вскрытия заявлений, установленного в объявлении о проведении отбора, и не позднее 1 рабочего дня, следующего за днем его подписания, размещается на едином портале.</w:t>
      </w:r>
    </w:p>
    <w:p>
      <w:pPr>
        <w:pStyle w:val="0"/>
        <w:spacing w:before="240" w:lineRule="auto"/>
        <w:ind w:firstLine="540"/>
        <w:jc w:val="both"/>
      </w:pPr>
      <w:r>
        <w:rPr>
          <w:sz w:val="24"/>
        </w:rPr>
        <w:t xml:space="preserve">29. Протокол вскрытия заявлений содержит следующую информацию о поступивших для участия в отборе заявлениях:</w:t>
      </w:r>
    </w:p>
    <w:p>
      <w:pPr>
        <w:pStyle w:val="0"/>
        <w:spacing w:before="240" w:lineRule="auto"/>
        <w:ind w:firstLine="540"/>
        <w:jc w:val="both"/>
      </w:pPr>
      <w:r>
        <w:rPr>
          <w:sz w:val="24"/>
        </w:rPr>
        <w:t xml:space="preserve">1) регистрационный номер заявления;</w:t>
      </w:r>
    </w:p>
    <w:p>
      <w:pPr>
        <w:pStyle w:val="0"/>
        <w:spacing w:before="240" w:lineRule="auto"/>
        <w:ind w:firstLine="540"/>
        <w:jc w:val="both"/>
      </w:pPr>
      <w:r>
        <w:rPr>
          <w:sz w:val="24"/>
        </w:rPr>
        <w:t xml:space="preserve">2) дата и время поступления заявления;</w:t>
      </w:r>
    </w:p>
    <w:p>
      <w:pPr>
        <w:pStyle w:val="0"/>
        <w:spacing w:before="240" w:lineRule="auto"/>
        <w:ind w:firstLine="540"/>
        <w:jc w:val="both"/>
      </w:pPr>
      <w:r>
        <w:rPr>
          <w:sz w:val="24"/>
        </w:rPr>
        <w:t xml:space="preserve">3) полное наименование заявителя (для юридических лиц) или фамилия, имя, отчество (при наличии) (для индивидуальных предпринимателей);</w:t>
      </w:r>
    </w:p>
    <w:p>
      <w:pPr>
        <w:pStyle w:val="0"/>
        <w:spacing w:before="240" w:lineRule="auto"/>
        <w:ind w:firstLine="540"/>
        <w:jc w:val="both"/>
      </w:pPr>
      <w:r>
        <w:rPr>
          <w:sz w:val="24"/>
        </w:rPr>
        <w:t xml:space="preserve">4) адрес юридического лица (адрес регистрации индивидуального предпринимателя);</w:t>
      </w:r>
    </w:p>
    <w:p>
      <w:pPr>
        <w:pStyle w:val="0"/>
        <w:spacing w:before="240" w:lineRule="auto"/>
        <w:ind w:firstLine="540"/>
        <w:jc w:val="both"/>
      </w:pPr>
      <w:r>
        <w:rPr>
          <w:sz w:val="24"/>
        </w:rPr>
        <w:t xml:space="preserve">5) запрашиваемый заявителем размер субсидии.</w:t>
      </w:r>
    </w:p>
    <w:bookmarkStart w:id="172" w:name="P172"/>
    <w:bookmarkEnd w:id="172"/>
    <w:p>
      <w:pPr>
        <w:pStyle w:val="0"/>
        <w:spacing w:before="240" w:lineRule="auto"/>
        <w:ind w:firstLine="540"/>
        <w:jc w:val="both"/>
      </w:pPr>
      <w:r>
        <w:rPr>
          <w:sz w:val="24"/>
        </w:rPr>
        <w:t xml:space="preserve">30. ГКУ-УСЗН в течение 10 рабочих дней со дня вскрытия заявлений осуществляет рассмотрение заявлений, в том числе определяет соответствие (несоответствие) заявителя условиям, установленным </w:t>
      </w:r>
      <w:hyperlink w:history="0" w:anchor="P119" w:tooltip="16. Для участия в отборе заявитель должен одновременно соответствовать следующим условиям:">
        <w:r>
          <w:rPr>
            <w:sz w:val="24"/>
            <w:color w:val="0000ff"/>
          </w:rPr>
          <w:t xml:space="preserve">пунктом 16</w:t>
        </w:r>
      </w:hyperlink>
      <w:r>
        <w:rPr>
          <w:sz w:val="24"/>
        </w:rPr>
        <w:t xml:space="preserve"> настоящего Порядка, осуществляет проверку заявлений и документов, представленных заявителями, на соответствие требованиям к заявлениям и документам, установленным в объявлении о проведении отбора, предусмотренным </w:t>
      </w:r>
      <w:hyperlink w:history="0" w:anchor="P128" w:tooltip="17. Для участия в отборе заявители представляют:">
        <w:r>
          <w:rPr>
            <w:sz w:val="24"/>
            <w:color w:val="0000ff"/>
          </w:rPr>
          <w:t xml:space="preserve">пунктом 17</w:t>
        </w:r>
      </w:hyperlink>
      <w:r>
        <w:rPr>
          <w:sz w:val="24"/>
        </w:rPr>
        <w:t xml:space="preserve"> настоящего Порядка.</w:t>
      </w:r>
    </w:p>
    <w:bookmarkStart w:id="173" w:name="P173"/>
    <w:bookmarkEnd w:id="173"/>
    <w:p>
      <w:pPr>
        <w:pStyle w:val="0"/>
        <w:spacing w:before="240" w:lineRule="auto"/>
        <w:ind w:firstLine="540"/>
        <w:jc w:val="both"/>
      </w:pPr>
      <w:r>
        <w:rPr>
          <w:sz w:val="24"/>
        </w:rPr>
        <w:t xml:space="preserve">31. В случае выявления в ходе рассмотрения заявлений оснований для возврата заявления на доработку ГКУ-УСЗН в течение 1 рабочего дня со дня выявления таких оснований возвращает заявление на доработку с использованием системы "Электронный бюджет" с указанием оснований для возврата заявления на доработку, а также положений заявления, нуждающихся в доработке.</w:t>
      </w:r>
    </w:p>
    <w:bookmarkStart w:id="174" w:name="P174"/>
    <w:bookmarkEnd w:id="174"/>
    <w:p>
      <w:pPr>
        <w:pStyle w:val="0"/>
        <w:spacing w:before="240" w:lineRule="auto"/>
        <w:ind w:firstLine="540"/>
        <w:jc w:val="both"/>
      </w:pPr>
      <w:r>
        <w:rPr>
          <w:sz w:val="24"/>
        </w:rPr>
        <w:t xml:space="preserve">32. Основанием для возврата заявления на доработку является выявление орфографических и (или) математических ошибок, ошибок в расчете.</w:t>
      </w:r>
    </w:p>
    <w:p>
      <w:pPr>
        <w:pStyle w:val="0"/>
        <w:spacing w:before="240" w:lineRule="auto"/>
        <w:ind w:firstLine="540"/>
        <w:jc w:val="both"/>
      </w:pPr>
      <w:r>
        <w:rPr>
          <w:sz w:val="24"/>
        </w:rPr>
        <w:t xml:space="preserve">Заявитель в течение 2 рабочих дней со дня, следующего за днем возврата заявления на доработку, направляет доработанное заявление с использованием системы "Электронный бюджет".</w:t>
      </w:r>
    </w:p>
    <w:bookmarkStart w:id="176" w:name="P176"/>
    <w:bookmarkEnd w:id="176"/>
    <w:p>
      <w:pPr>
        <w:pStyle w:val="0"/>
        <w:spacing w:before="240" w:lineRule="auto"/>
        <w:ind w:firstLine="540"/>
        <w:jc w:val="both"/>
      </w:pPr>
      <w:r>
        <w:rPr>
          <w:sz w:val="24"/>
        </w:rPr>
        <w:t xml:space="preserve">33. В случае если в целях полного, всестороннего и объективного рассмотрения заявления необходимо получение информации и документов от заявителей для разъяснений по представленным им документам и информации, ГКУ-УСЗН осуществляется запрос у заявителей разъяснения в отношении документов и информации с использованием системы "Электронный бюджет", направляемый при необходимости в равной мере всем заявителям.</w:t>
      </w:r>
    </w:p>
    <w:bookmarkStart w:id="177" w:name="P177"/>
    <w:bookmarkEnd w:id="177"/>
    <w:p>
      <w:pPr>
        <w:pStyle w:val="0"/>
        <w:spacing w:before="240" w:lineRule="auto"/>
        <w:ind w:firstLine="540"/>
        <w:jc w:val="both"/>
      </w:pPr>
      <w:r>
        <w:rPr>
          <w:sz w:val="24"/>
        </w:rPr>
        <w:t xml:space="preserve">Заявитель формирует и представляет в систему "Электронный бюджет" информацию и документы, запрашиваемые в соответствии с </w:t>
      </w:r>
      <w:hyperlink w:history="0" w:anchor="P176" w:tooltip="33. В случае если в целях полного, всестороннего и объективного рассмотрения заявления необходимо получение информации и документов от заявителей для разъяснений по представленным им документам и информации, ГКУ-УСЗН осуществляется запрос у заявителей разъяснения в отношении документов и информации с использованием системы &quot;Электронный бюджет&quot;, направляемый при необходимости в равной мере всем заявителям.">
        <w:r>
          <w:rPr>
            <w:sz w:val="24"/>
            <w:color w:val="0000ff"/>
          </w:rPr>
          <w:t xml:space="preserve">абзацем первым</w:t>
        </w:r>
      </w:hyperlink>
      <w:r>
        <w:rPr>
          <w:sz w:val="24"/>
        </w:rPr>
        <w:t xml:space="preserve"> настоящего пункта, в течение 2 рабочих дней со дня, следующего за днем направления соответствующего запроса.</w:t>
      </w:r>
    </w:p>
    <w:p>
      <w:pPr>
        <w:pStyle w:val="0"/>
        <w:spacing w:before="240" w:lineRule="auto"/>
        <w:ind w:firstLine="540"/>
        <w:jc w:val="both"/>
      </w:pPr>
      <w:r>
        <w:rPr>
          <w:sz w:val="24"/>
        </w:rPr>
        <w:t xml:space="preserve">Если заявитель в ответ на запрос, указанный в </w:t>
      </w:r>
      <w:hyperlink w:history="0" w:anchor="P176" w:tooltip="33. В случае если в целях полного, всестороннего и объективного рассмотрения заявления необходимо получение информации и документов от заявителей для разъяснений по представленным им документам и информации, ГКУ-УСЗН осуществляется запрос у заявителей разъяснения в отношении документов и информации с использованием системы &quot;Электронный бюджет&quot;, направляемый при необходимости в равной мере всем заявителям.">
        <w:r>
          <w:rPr>
            <w:sz w:val="24"/>
            <w:color w:val="0000ff"/>
          </w:rPr>
          <w:t xml:space="preserve">абзаце первом</w:t>
        </w:r>
      </w:hyperlink>
      <w:r>
        <w:rPr>
          <w:sz w:val="24"/>
        </w:rPr>
        <w:t xml:space="preserve"> настоящего пункта, не представил запрашиваемые документы и информацию в срок, установленный </w:t>
      </w:r>
      <w:hyperlink w:history="0" w:anchor="P177" w:tooltip="Заявитель формирует и представляет в систему &quot;Электронный бюджет&quot; информацию и документы, запрашиваемые в соответствии с абзацем первым настоящего пункта, в течение 2 рабочих дней со дня, следующего за днем направления соответствующего запроса.">
        <w:r>
          <w:rPr>
            <w:sz w:val="24"/>
            <w:color w:val="0000ff"/>
          </w:rPr>
          <w:t xml:space="preserve">абзацем вторым</w:t>
        </w:r>
      </w:hyperlink>
      <w:r>
        <w:rPr>
          <w:sz w:val="24"/>
        </w:rPr>
        <w:t xml:space="preserve"> настоящего пункта, информация об этом включается в протокол подведения итогов отбора, предусмотренный </w:t>
      </w:r>
      <w:hyperlink w:history="0" w:anchor="P179" w:tooltip="34. Протокол подведения итогов отбора автоматически формируется на едином портале, подписывается усиленной квалифицированной электронной подписью министра социальной защиты населения Амурской области (уполномоченного им лица) в системе &quot;Электронный бюджет&quot; не позднее 18 рабочих дней со дня подписания протокола вскрытия заявлений и не позднее 1 рабочего дня, следующего за днем его подписания, размещается на едином портале, а также на сайте министерства.">
        <w:r>
          <w:rPr>
            <w:sz w:val="24"/>
            <w:color w:val="0000ff"/>
          </w:rPr>
          <w:t xml:space="preserve">пунктом 34</w:t>
        </w:r>
      </w:hyperlink>
      <w:r>
        <w:rPr>
          <w:sz w:val="24"/>
        </w:rPr>
        <w:t xml:space="preserve"> настоящего Порядка.</w:t>
      </w:r>
    </w:p>
    <w:bookmarkStart w:id="179" w:name="P179"/>
    <w:bookmarkEnd w:id="179"/>
    <w:p>
      <w:pPr>
        <w:pStyle w:val="0"/>
        <w:spacing w:before="240" w:lineRule="auto"/>
        <w:ind w:firstLine="540"/>
        <w:jc w:val="both"/>
      </w:pPr>
      <w:r>
        <w:rPr>
          <w:sz w:val="24"/>
        </w:rPr>
        <w:t xml:space="preserve">34. Протокол подведения итогов отбора автоматически формируется на едином портале, подписывается усиленной квалифицированной электронной подписью министра социальной защиты населения Амурской области (уполномоченного им лица) в системе "Электронный бюджет" не позднее 18 рабочих дней со дня подписания протокола вскрытия заявлений и не позднее 1 рабочего дня, следующего за днем его подписания, размещается на едином портале, а также на сайте министерства.</w:t>
      </w:r>
    </w:p>
    <w:bookmarkStart w:id="180" w:name="P180"/>
    <w:bookmarkEnd w:id="180"/>
    <w:p>
      <w:pPr>
        <w:pStyle w:val="0"/>
        <w:spacing w:before="240" w:lineRule="auto"/>
        <w:ind w:firstLine="540"/>
        <w:jc w:val="both"/>
      </w:pPr>
      <w:r>
        <w:rPr>
          <w:sz w:val="24"/>
        </w:rPr>
        <w:t xml:space="preserve">35. Протокол подведения итогов отбора включает следующие сведения:</w:t>
      </w:r>
    </w:p>
    <w:p>
      <w:pPr>
        <w:pStyle w:val="0"/>
        <w:spacing w:before="240" w:lineRule="auto"/>
        <w:ind w:firstLine="540"/>
        <w:jc w:val="both"/>
      </w:pPr>
      <w:r>
        <w:rPr>
          <w:sz w:val="24"/>
        </w:rPr>
        <w:t xml:space="preserve">1) дата, время и место проведения рассмотрения заявлений;</w:t>
      </w:r>
    </w:p>
    <w:p>
      <w:pPr>
        <w:pStyle w:val="0"/>
        <w:spacing w:before="240" w:lineRule="auto"/>
        <w:ind w:firstLine="540"/>
        <w:jc w:val="both"/>
      </w:pPr>
      <w:r>
        <w:rPr>
          <w:sz w:val="24"/>
        </w:rPr>
        <w:t xml:space="preserve">2) информация о заявителях, заявления которых были рассмотрены;</w:t>
      </w:r>
    </w:p>
    <w:p>
      <w:pPr>
        <w:pStyle w:val="0"/>
        <w:spacing w:before="240" w:lineRule="auto"/>
        <w:ind w:firstLine="540"/>
        <w:jc w:val="both"/>
      </w:pPr>
      <w:r>
        <w:rPr>
          <w:sz w:val="24"/>
        </w:rPr>
        <w:t xml:space="preserve">3) информация о заявителях, заявления которых были отклонены, с указанием причин их отклонения, в том числе положений объявления о проведении отбора, которым не соответствуют заявления;</w:t>
      </w:r>
    </w:p>
    <w:p>
      <w:pPr>
        <w:pStyle w:val="0"/>
        <w:spacing w:before="240" w:lineRule="auto"/>
        <w:ind w:firstLine="540"/>
        <w:jc w:val="both"/>
      </w:pPr>
      <w:r>
        <w:rPr>
          <w:sz w:val="24"/>
        </w:rPr>
        <w:t xml:space="preserve">4) наименование получателей субсидии, с которыми заключаются Соглашения (далее - получатель), и размер предоставляемой им субсидии.</w:t>
      </w:r>
    </w:p>
    <w:p>
      <w:pPr>
        <w:pStyle w:val="0"/>
        <w:spacing w:before="240" w:lineRule="auto"/>
        <w:ind w:firstLine="540"/>
        <w:jc w:val="both"/>
      </w:pPr>
      <w:r>
        <w:rPr>
          <w:sz w:val="24"/>
        </w:rPr>
        <w:t xml:space="preserve">36. В случае возникновения необходимости внесения изменений в протокол подведения итогов отбора министерство не позднее 10 календарных дней со дня подписания первой версии протокола подведения итогов отбора вносит соответствующие изменения в протокол подведения итогов отбора путем формирования новой версии указанного протокола с указанием причин внесения изменений.</w:t>
      </w:r>
    </w:p>
    <w:bookmarkStart w:id="186" w:name="P186"/>
    <w:bookmarkEnd w:id="186"/>
    <w:p>
      <w:pPr>
        <w:pStyle w:val="0"/>
        <w:spacing w:before="240" w:lineRule="auto"/>
        <w:ind w:firstLine="540"/>
        <w:jc w:val="both"/>
      </w:pPr>
      <w:r>
        <w:rPr>
          <w:sz w:val="24"/>
        </w:rPr>
        <w:t xml:space="preserve">37. Основаниями для отклонения заявления являются:</w:t>
      </w:r>
    </w:p>
    <w:p>
      <w:pPr>
        <w:pStyle w:val="0"/>
        <w:spacing w:before="240" w:lineRule="auto"/>
        <w:ind w:firstLine="540"/>
        <w:jc w:val="both"/>
      </w:pPr>
      <w:r>
        <w:rPr>
          <w:sz w:val="24"/>
        </w:rPr>
        <w:t xml:space="preserve">1) несоответствие лица, претендующего на получение субсидии, категории лиц, установленной </w:t>
      </w:r>
      <w:hyperlink w:history="0" w:anchor="P76" w:tooltip="6. К категории лиц, имеющих право на получение субсидии, относятся пассажирские транспортные предприятия, зарегистрированные в качестве юридических лиц (за исключением государственных (муниципальных) учреждений), индивидуальных предпринимателей, осуществляющие на территории Амурской области перевозку граждан отдельных категорий по регулярным маршрутам с использованием ЕСПБ (далее - заявители).">
        <w:r>
          <w:rPr>
            <w:sz w:val="24"/>
            <w:color w:val="0000ff"/>
          </w:rPr>
          <w:t xml:space="preserve">пунктом 6</w:t>
        </w:r>
      </w:hyperlink>
      <w:r>
        <w:rPr>
          <w:sz w:val="24"/>
        </w:rPr>
        <w:t xml:space="preserve"> настоящего Порядка;</w:t>
      </w:r>
    </w:p>
    <w:p>
      <w:pPr>
        <w:pStyle w:val="0"/>
        <w:spacing w:before="240" w:lineRule="auto"/>
        <w:ind w:firstLine="540"/>
        <w:jc w:val="both"/>
      </w:pPr>
      <w:r>
        <w:rPr>
          <w:sz w:val="24"/>
        </w:rPr>
        <w:t xml:space="preserve">2) несоответствие заявителя условиям, установленным </w:t>
      </w:r>
      <w:hyperlink w:history="0" w:anchor="P119" w:tooltip="16. Для участия в отборе заявитель должен одновременно соответствовать следующим условиям:">
        <w:r>
          <w:rPr>
            <w:sz w:val="24"/>
            <w:color w:val="0000ff"/>
          </w:rPr>
          <w:t xml:space="preserve">пунктом 16</w:t>
        </w:r>
      </w:hyperlink>
      <w:r>
        <w:rPr>
          <w:sz w:val="24"/>
        </w:rPr>
        <w:t xml:space="preserve"> настоящего Порядка, на дату рассмотрения заявления;</w:t>
      </w:r>
    </w:p>
    <w:p>
      <w:pPr>
        <w:pStyle w:val="0"/>
        <w:spacing w:before="240" w:lineRule="auto"/>
        <w:ind w:firstLine="540"/>
        <w:jc w:val="both"/>
      </w:pPr>
      <w:r>
        <w:rPr>
          <w:sz w:val="24"/>
        </w:rPr>
        <w:t xml:space="preserve">3) непредставление (представление не в полном объеме) документов, указанных в объявлении о проведении отбора, предусмотренных </w:t>
      </w:r>
      <w:hyperlink w:history="0" w:anchor="P128" w:tooltip="17. Для участия в отборе заявители представляют:">
        <w:r>
          <w:rPr>
            <w:sz w:val="24"/>
            <w:color w:val="0000ff"/>
          </w:rPr>
          <w:t xml:space="preserve">пунктом 17</w:t>
        </w:r>
      </w:hyperlink>
      <w:r>
        <w:rPr>
          <w:sz w:val="24"/>
        </w:rPr>
        <w:t xml:space="preserve"> настоящего Порядка;</w:t>
      </w:r>
    </w:p>
    <w:p>
      <w:pPr>
        <w:pStyle w:val="0"/>
        <w:spacing w:before="240" w:lineRule="auto"/>
        <w:ind w:firstLine="540"/>
        <w:jc w:val="both"/>
      </w:pPr>
      <w:r>
        <w:rPr>
          <w:sz w:val="24"/>
        </w:rPr>
        <w:t xml:space="preserve">4) несоответствие представленных заявителем заявления и документов требованиям к заявлению и документам, установленным в объявлении о проведении отбора, предусмотренным </w:t>
      </w:r>
      <w:hyperlink w:history="0" w:anchor="P128" w:tooltip="17. Для участия в отборе заявители представляют:">
        <w:r>
          <w:rPr>
            <w:sz w:val="24"/>
            <w:color w:val="0000ff"/>
          </w:rPr>
          <w:t xml:space="preserve">пунктом 17</w:t>
        </w:r>
      </w:hyperlink>
      <w:r>
        <w:rPr>
          <w:sz w:val="24"/>
        </w:rPr>
        <w:t xml:space="preserve"> настоящего Порядка;</w:t>
      </w:r>
    </w:p>
    <w:p>
      <w:pPr>
        <w:pStyle w:val="0"/>
        <w:spacing w:before="240" w:lineRule="auto"/>
        <w:ind w:firstLine="540"/>
        <w:jc w:val="both"/>
      </w:pPr>
      <w:r>
        <w:rPr>
          <w:sz w:val="24"/>
        </w:rPr>
        <w:t xml:space="preserve">5) недостоверность информации, содержащейся в документах, представленных заявителем в целях подтверждения соответствия установленным настоящим Порядком требованиям;</w:t>
      </w:r>
    </w:p>
    <w:p>
      <w:pPr>
        <w:pStyle w:val="0"/>
        <w:spacing w:before="240" w:lineRule="auto"/>
        <w:ind w:firstLine="540"/>
        <w:jc w:val="both"/>
      </w:pPr>
      <w:r>
        <w:rPr>
          <w:sz w:val="24"/>
        </w:rPr>
        <w:t xml:space="preserve">6) подача заявителем заявления после даты и (или) времени, определенных для подачи заявлений;</w:t>
      </w:r>
    </w:p>
    <w:p>
      <w:pPr>
        <w:pStyle w:val="0"/>
        <w:spacing w:before="240" w:lineRule="auto"/>
        <w:ind w:firstLine="540"/>
        <w:jc w:val="both"/>
      </w:pPr>
      <w:r>
        <w:rPr>
          <w:sz w:val="24"/>
        </w:rPr>
        <w:t xml:space="preserve">7) непредставление доработанного заявления после доработки в соответствии с </w:t>
      </w:r>
      <w:hyperlink w:history="0" w:anchor="P173" w:tooltip="31. В случае выявления в ходе рассмотрения заявлений оснований для возврата заявления на доработку ГКУ-УСЗН в течение 1 рабочего дня со дня выявления таких оснований возвращает заявление на доработку с использованием системы &quot;Электронный бюджет&quot; с указанием оснований для возврата заявления на доработку, а также положений заявления, нуждающихся в доработке.">
        <w:r>
          <w:rPr>
            <w:sz w:val="24"/>
            <w:color w:val="0000ff"/>
          </w:rPr>
          <w:t xml:space="preserve">пунктами 31</w:t>
        </w:r>
      </w:hyperlink>
      <w:r>
        <w:rPr>
          <w:sz w:val="24"/>
        </w:rPr>
        <w:t xml:space="preserve">, </w:t>
      </w:r>
      <w:hyperlink w:history="0" w:anchor="P174" w:tooltip="32. Основанием для возврата заявления на доработку является выявление орфографических и (или) математических ошибок, ошибок в расчете.">
        <w:r>
          <w:rPr>
            <w:sz w:val="24"/>
            <w:color w:val="0000ff"/>
          </w:rPr>
          <w:t xml:space="preserve">32</w:t>
        </w:r>
      </w:hyperlink>
      <w:r>
        <w:rPr>
          <w:sz w:val="24"/>
        </w:rPr>
        <w:t xml:space="preserve"> настоящего Порядка.</w:t>
      </w:r>
    </w:p>
    <w:p>
      <w:pPr>
        <w:pStyle w:val="0"/>
        <w:spacing w:before="240" w:lineRule="auto"/>
        <w:ind w:firstLine="540"/>
        <w:jc w:val="both"/>
      </w:pPr>
      <w:r>
        <w:rPr>
          <w:sz w:val="24"/>
        </w:rPr>
        <w:t xml:space="preserve">38. Отбор отменяется в случае уменьшения министерству ранее доведенных лимитов бюджетных обязательств, указанных в </w:t>
      </w:r>
      <w:hyperlink w:history="0" w:anchor="P75" w:tooltip="Предоставление субсидии осуществляется в пределах бюджетных ассигнований, предусмотренных законом об областном бюджете на текущий финансовый год и плановый период, и лимитов бюджетных обязательств, утвержденных министерству в установленном порядке на предоставление субсидии.">
        <w:r>
          <w:rPr>
            <w:sz w:val="24"/>
            <w:color w:val="0000ff"/>
          </w:rPr>
          <w:t xml:space="preserve">абзаце втором пункта 5</w:t>
        </w:r>
      </w:hyperlink>
      <w:r>
        <w:rPr>
          <w:sz w:val="24"/>
        </w:rPr>
        <w:t xml:space="preserve"> настоящего Порядка, приводящего к невозможности распределения объема субсидии, указанного в объявлении о проведении отбора.</w:t>
      </w:r>
    </w:p>
    <w:p>
      <w:pPr>
        <w:pStyle w:val="0"/>
        <w:spacing w:before="240" w:lineRule="auto"/>
        <w:ind w:firstLine="540"/>
        <w:jc w:val="both"/>
      </w:pPr>
      <w:r>
        <w:rPr>
          <w:sz w:val="24"/>
        </w:rPr>
        <w:t xml:space="preserve">39. Министерство не позднее чем за 1 рабочий день до даты окончания приема заявлений и документов формирует объявление об отмене отбора в электронной форме посредством заполнения соответствующих экранных форм веб-интерфейса системы "Электронный бюджет", содержащее информацию о причинах отмены отбора.</w:t>
      </w:r>
    </w:p>
    <w:p>
      <w:pPr>
        <w:pStyle w:val="0"/>
        <w:spacing w:before="240" w:lineRule="auto"/>
        <w:ind w:firstLine="540"/>
        <w:jc w:val="both"/>
      </w:pPr>
      <w:r>
        <w:rPr>
          <w:sz w:val="24"/>
        </w:rPr>
        <w:t xml:space="preserve">Объявление об отмене отбора в день его формирования подписывается усиленной квалифицированной электронной подписью министра социальной защиты населения Амурской области и размещается на едином портале.</w:t>
      </w:r>
    </w:p>
    <w:p>
      <w:pPr>
        <w:pStyle w:val="0"/>
        <w:spacing w:before="240" w:lineRule="auto"/>
        <w:ind w:firstLine="540"/>
        <w:jc w:val="both"/>
      </w:pPr>
      <w:r>
        <w:rPr>
          <w:sz w:val="24"/>
        </w:rPr>
        <w:t xml:space="preserve">40. Заявители, подавшие заявления, в течение 1 рабочего дня со дня размещения объявления об отмене отбора на едином портале информируются об отмене проведения отбора в системе "Электронный бюджет".</w:t>
      </w:r>
    </w:p>
    <w:p>
      <w:pPr>
        <w:pStyle w:val="0"/>
        <w:spacing w:before="240" w:lineRule="auto"/>
        <w:ind w:firstLine="540"/>
        <w:jc w:val="both"/>
      </w:pPr>
      <w:r>
        <w:rPr>
          <w:sz w:val="24"/>
        </w:rPr>
        <w:t xml:space="preserve">Отбор считается отмененным со дня размещения объявления о его отмене на едином портале.</w:t>
      </w:r>
    </w:p>
    <w:p>
      <w:pPr>
        <w:pStyle w:val="0"/>
        <w:spacing w:before="240" w:lineRule="auto"/>
        <w:ind w:firstLine="540"/>
        <w:jc w:val="both"/>
      </w:pPr>
      <w:r>
        <w:rPr>
          <w:sz w:val="24"/>
        </w:rPr>
        <w:t xml:space="preserve">41. Отбор признается несостоявшимся в следующих случаях:</w:t>
      </w:r>
    </w:p>
    <w:p>
      <w:pPr>
        <w:pStyle w:val="0"/>
        <w:spacing w:before="240" w:lineRule="auto"/>
        <w:ind w:firstLine="540"/>
        <w:jc w:val="both"/>
      </w:pPr>
      <w:r>
        <w:rPr>
          <w:sz w:val="24"/>
        </w:rPr>
        <w:t xml:space="preserve">1) в течение срока подачи заявлений не подано ни одного заявления;</w:t>
      </w:r>
    </w:p>
    <w:p>
      <w:pPr>
        <w:pStyle w:val="0"/>
        <w:spacing w:before="240" w:lineRule="auto"/>
        <w:ind w:firstLine="540"/>
        <w:jc w:val="both"/>
      </w:pPr>
      <w:r>
        <w:rPr>
          <w:sz w:val="24"/>
        </w:rPr>
        <w:t xml:space="preserve">2) по результатам рассмотрения заявлений отклонены все заявления.</w:t>
      </w:r>
    </w:p>
    <w:p>
      <w:pPr>
        <w:pStyle w:val="0"/>
        <w:spacing w:before="240" w:lineRule="auto"/>
        <w:ind w:firstLine="540"/>
        <w:jc w:val="both"/>
      </w:pPr>
      <w:r>
        <w:rPr>
          <w:sz w:val="24"/>
        </w:rPr>
        <w:t xml:space="preserve">42. Субсидия распределяется между получателями в порядке ранжирования поступивших заявлений исходя из очередности поступления заявлений и исходя из общего объема распределяемой субсидии в рамках отбора.</w:t>
      </w:r>
    </w:p>
    <w:bookmarkStart w:id="203" w:name="P203"/>
    <w:bookmarkEnd w:id="203"/>
    <w:p>
      <w:pPr>
        <w:pStyle w:val="0"/>
        <w:spacing w:before="240" w:lineRule="auto"/>
        <w:ind w:firstLine="540"/>
        <w:jc w:val="both"/>
      </w:pPr>
      <w:r>
        <w:rPr>
          <w:sz w:val="24"/>
        </w:rPr>
        <w:t xml:space="preserve">43. Предоставление субсидии осуществляется на основании Соглашения, заключенного между ГКУ-УСЗН и получателем.</w:t>
      </w:r>
    </w:p>
    <w:p>
      <w:pPr>
        <w:pStyle w:val="0"/>
        <w:spacing w:before="240" w:lineRule="auto"/>
        <w:ind w:firstLine="540"/>
        <w:jc w:val="both"/>
      </w:pPr>
      <w:r>
        <w:rPr>
          <w:sz w:val="24"/>
        </w:rPr>
        <w:t xml:space="preserve">ГКУ-УСЗН в течение 10 рабочих дней со дня размещения на едином портале протокола подведения итогов отбора формирует в отношении получателя проект Соглашения в электронной форме в централизованной информационно-технической системе "АЦК-Планирование" в соответствии с типовой </w:t>
      </w:r>
      <w:hyperlink w:history="0" r:id="rId47" w:tooltip="Приказ Минфина Амурской области от 28.10.2022 N 317 (ред. от 27.02.2024) &quot;Об утверждении типовой формы соглашения (договора) о предоставлении из областного бюджета субсидий, в том числе грантов в форме субсидий, юридическим лицам, индивидуальным предпринимателям, а также физическим лицам&quot; (вместе с &quot;Перечнем утративших силу нормативных правовых актов министерства финансов Амурской области&quot;) {КонсультантПлюс}">
        <w:r>
          <w:rPr>
            <w:sz w:val="24"/>
            <w:color w:val="0000ff"/>
          </w:rPr>
          <w:t xml:space="preserve">формой</w:t>
        </w:r>
      </w:hyperlink>
      <w:r>
        <w:rPr>
          <w:sz w:val="24"/>
        </w:rPr>
        <w:t xml:space="preserve">, утвержденной приказом министерства финансов Амурской области от 28 октября 2022 г. N 317, размещенным на официальном сайте министерства финансов Амурской области в информационно-телекоммуникационной сети Интернет по адресу: </w:t>
      </w:r>
      <w:hyperlink w:history="0" r:id="rId48">
        <w:r>
          <w:rPr>
            <w:sz w:val="24"/>
            <w:color w:val="0000ff"/>
          </w:rPr>
          <w:t xml:space="preserve">www.fin.amurobl.ru</w:t>
        </w:r>
      </w:hyperlink>
      <w:r>
        <w:rPr>
          <w:sz w:val="24"/>
        </w:rPr>
        <w:t xml:space="preserve">.</w:t>
      </w:r>
    </w:p>
    <w:p>
      <w:pPr>
        <w:pStyle w:val="0"/>
        <w:spacing w:before="240" w:lineRule="auto"/>
        <w:ind w:firstLine="540"/>
        <w:jc w:val="both"/>
      </w:pPr>
      <w:r>
        <w:rPr>
          <w:sz w:val="24"/>
        </w:rPr>
        <w:t xml:space="preserve">44. Соглашение должно включать условие о согласовании новых условий Соглашения или о расторжении Соглашения при недостижении согласия по новым условиям в случае уменьшения министерству ранее доведенных лимитов бюджетных обязательств на предоставление субсидии, приводящего к невозможности предоставления субсидии в размере, определенном в Соглашении.</w:t>
      </w:r>
    </w:p>
    <w:bookmarkStart w:id="206" w:name="P206"/>
    <w:bookmarkEnd w:id="206"/>
    <w:p>
      <w:pPr>
        <w:pStyle w:val="0"/>
        <w:spacing w:before="240" w:lineRule="auto"/>
        <w:ind w:firstLine="540"/>
        <w:jc w:val="both"/>
      </w:pPr>
      <w:r>
        <w:rPr>
          <w:sz w:val="24"/>
        </w:rPr>
        <w:t xml:space="preserve">45. Получатель в течение 3 рабочих дней со дня формирования проекта Соглашения подписывает его в электронной форме в централизованной информационно-технической системе "АЦК-Планирование" электронной подписью.</w:t>
      </w:r>
    </w:p>
    <w:p>
      <w:pPr>
        <w:pStyle w:val="0"/>
        <w:spacing w:before="240" w:lineRule="auto"/>
        <w:ind w:firstLine="540"/>
        <w:jc w:val="both"/>
      </w:pPr>
      <w:r>
        <w:rPr>
          <w:sz w:val="24"/>
        </w:rPr>
        <w:t xml:space="preserve">В случае если Соглашение в срок, указанный в </w:t>
      </w:r>
      <w:hyperlink w:history="0" w:anchor="P206" w:tooltip="45. Получатель в течение 3 рабочих дней со дня формирования проекта Соглашения подписывает его в электронной форме в централизованной информационно-технической системе &quot;АЦК-Планирование&quot; электронной подписью.">
        <w:r>
          <w:rPr>
            <w:sz w:val="24"/>
            <w:color w:val="0000ff"/>
          </w:rPr>
          <w:t xml:space="preserve">абзаце первом</w:t>
        </w:r>
      </w:hyperlink>
      <w:r>
        <w:rPr>
          <w:sz w:val="24"/>
        </w:rPr>
        <w:t xml:space="preserve"> настоящего пункта, не подписано получателем, такое Соглашение считается незаключенным, а получатель признается уклонившимся от заключения Соглашения, о чем ГКУ-УСЗН в течение 5 рабочих дней со дня окончания срока, указанного в </w:t>
      </w:r>
      <w:hyperlink w:history="0" w:anchor="P206" w:tooltip="45. Получатель в течение 3 рабочих дней со дня формирования проекта Соглашения подписывает его в электронной форме в централизованной информационно-технической системе &quot;АЦК-Планирование&quot; электронной подписью.">
        <w:r>
          <w:rPr>
            <w:sz w:val="24"/>
            <w:color w:val="0000ff"/>
          </w:rPr>
          <w:t xml:space="preserve">абзаце первом</w:t>
        </w:r>
      </w:hyperlink>
      <w:r>
        <w:rPr>
          <w:sz w:val="24"/>
        </w:rPr>
        <w:t xml:space="preserve"> настоящего пункта, направляет получателю (способом, позволяющим подтвердить факт направления) уведомление с указанием причины принятия такого решения, а также о праве получателя повторно обратиться за предоставлением субсидии в порядке, установленном настоящим Порядком.</w:t>
      </w:r>
    </w:p>
    <w:bookmarkStart w:id="208" w:name="P208"/>
    <w:bookmarkEnd w:id="208"/>
    <w:p>
      <w:pPr>
        <w:pStyle w:val="0"/>
        <w:spacing w:before="240" w:lineRule="auto"/>
        <w:ind w:firstLine="540"/>
        <w:jc w:val="both"/>
      </w:pPr>
      <w:r>
        <w:rPr>
          <w:sz w:val="24"/>
        </w:rPr>
        <w:t xml:space="preserve">46. Руководитель ГКУ-УСЗН в течение 2 рабочих дней со дня подписания проекта Соглашения получателем подписывает его в электронной форме в централизованной информационно-технической системе "АЦК-Планирование" электронной подписью, после чего Соглашение считается заключенным.</w:t>
      </w:r>
    </w:p>
    <w:p>
      <w:pPr>
        <w:pStyle w:val="0"/>
        <w:spacing w:before="240" w:lineRule="auto"/>
        <w:ind w:firstLine="540"/>
        <w:jc w:val="both"/>
      </w:pPr>
      <w:r>
        <w:rPr>
          <w:sz w:val="24"/>
        </w:rPr>
        <w:t xml:space="preserve">47. При реорганизации получателя, являющегося юридическим лицом, в форме слияния, присоединения или преобразования в Соглашение вносятся изменения путем заключения дополнительного соглашения к Соглашению в части перемены лица в обязательстве с указанием в Соглашении юридического лица, являющегося правопреемником.</w:t>
      </w:r>
    </w:p>
    <w:p>
      <w:pPr>
        <w:pStyle w:val="0"/>
        <w:spacing w:before="240" w:lineRule="auto"/>
        <w:ind w:firstLine="540"/>
        <w:jc w:val="both"/>
      </w:pPr>
      <w:r>
        <w:rPr>
          <w:sz w:val="24"/>
        </w:rPr>
        <w:t xml:space="preserve">48. При реорганизации получателя, являющегося юридическим лицом, в форме разделения, выделения, а также при ликвидации получателя, являющегося юридическим лицом, или прекращении деятельности получателя, являющегося индивидуальным предпринимателем, Соглашение расторгается с формированием уведомления о расторжении Соглашения в одностороннем порядке и акта об исполнении обязательств по Соглашению с отражением информации о не исполненных получателем обязательствах, источником финансового обеспечения которых является субсидия, и возврате неиспользованного остатка субсидии в областной бюджет.</w:t>
      </w:r>
    </w:p>
    <w:p>
      <w:pPr>
        <w:pStyle w:val="0"/>
        <w:spacing w:before="240" w:lineRule="auto"/>
        <w:ind w:firstLine="540"/>
        <w:jc w:val="both"/>
      </w:pPr>
      <w:r>
        <w:rPr>
          <w:sz w:val="24"/>
        </w:rPr>
        <w:t xml:space="preserve">49. Дополнительное соглашение к Соглашению заключается в порядке и по форме, установленным </w:t>
      </w:r>
      <w:hyperlink w:history="0" w:anchor="P203" w:tooltip="43. Предоставление субсидии осуществляется на основании Соглашения, заключенного между ГКУ-УСЗН и получателем.">
        <w:r>
          <w:rPr>
            <w:sz w:val="24"/>
            <w:color w:val="0000ff"/>
          </w:rPr>
          <w:t xml:space="preserve">пунктами 43</w:t>
        </w:r>
      </w:hyperlink>
      <w:r>
        <w:rPr>
          <w:sz w:val="24"/>
        </w:rPr>
        <w:t xml:space="preserve">, </w:t>
      </w:r>
      <w:hyperlink w:history="0" w:anchor="P206" w:tooltip="45. Получатель в течение 3 рабочих дней со дня формирования проекта Соглашения подписывает его в электронной форме в централизованной информационно-технической системе &quot;АЦК-Планирование&quot; электронной подписью.">
        <w:r>
          <w:rPr>
            <w:sz w:val="24"/>
            <w:color w:val="0000ff"/>
          </w:rPr>
          <w:t xml:space="preserve">45</w:t>
        </w:r>
      </w:hyperlink>
      <w:r>
        <w:rPr>
          <w:sz w:val="24"/>
        </w:rPr>
        <w:t xml:space="preserve">, </w:t>
      </w:r>
      <w:hyperlink w:history="0" w:anchor="P208" w:tooltip="46. Руководитель ГКУ-УСЗН в течение 2 рабочих дней со дня подписания проекта Соглашения получателем подписывает его в электронной форме в централизованной информационно-технической системе &quot;АЦК-Планирование&quot; электронной подписью, после чего Соглашение считается заключенным.">
        <w:r>
          <w:rPr>
            <w:sz w:val="24"/>
            <w:color w:val="0000ff"/>
          </w:rPr>
          <w:t xml:space="preserve">46</w:t>
        </w:r>
      </w:hyperlink>
      <w:r>
        <w:rPr>
          <w:sz w:val="24"/>
        </w:rPr>
        <w:t xml:space="preserve"> настоящего Порядка.</w:t>
      </w:r>
    </w:p>
    <w:bookmarkStart w:id="212" w:name="P212"/>
    <w:bookmarkEnd w:id="212"/>
    <w:p>
      <w:pPr>
        <w:pStyle w:val="0"/>
        <w:spacing w:before="240" w:lineRule="auto"/>
        <w:ind w:firstLine="540"/>
        <w:jc w:val="both"/>
      </w:pPr>
      <w:r>
        <w:rPr>
          <w:sz w:val="24"/>
        </w:rPr>
        <w:t xml:space="preserve">50. В целях получения субсидии получатель ежемесячно, в срок до 20 числа месяца, следующего за отчетным, представляет в ГКУ-УСЗН следующие документы:</w:t>
      </w:r>
    </w:p>
    <w:p>
      <w:pPr>
        <w:pStyle w:val="0"/>
        <w:spacing w:before="240" w:lineRule="auto"/>
        <w:ind w:firstLine="540"/>
        <w:jc w:val="both"/>
      </w:pPr>
      <w:r>
        <w:rPr>
          <w:sz w:val="24"/>
        </w:rPr>
        <w:t xml:space="preserve">1) заявка-расчет размера субсидии по формам, утвержденным министерством;</w:t>
      </w:r>
    </w:p>
    <w:p>
      <w:pPr>
        <w:pStyle w:val="0"/>
        <w:spacing w:before="240" w:lineRule="auto"/>
        <w:ind w:firstLine="540"/>
        <w:jc w:val="both"/>
      </w:pPr>
      <w:r>
        <w:rPr>
          <w:sz w:val="24"/>
        </w:rPr>
        <w:t xml:space="preserve">2) для получения субсидии на возмещение расходов, предусмотренных </w:t>
      </w:r>
      <w:hyperlink w:history="0" w:anchor="P80" w:tooltip="2) проездом граждан отдельных категорий с использованием ЕСПБ и талонов-заявок по регулярным маршрутам, на которых используется электронная система платежей.">
        <w:r>
          <w:rPr>
            <w:sz w:val="24"/>
            <w:color w:val="0000ff"/>
          </w:rPr>
          <w:t xml:space="preserve">подпунктом 2 пункта 8</w:t>
        </w:r>
      </w:hyperlink>
      <w:r>
        <w:rPr>
          <w:sz w:val="24"/>
        </w:rPr>
        <w:t xml:space="preserve"> настоящего Порядка:</w:t>
      </w:r>
    </w:p>
    <w:p>
      <w:pPr>
        <w:pStyle w:val="0"/>
        <w:spacing w:before="240" w:lineRule="auto"/>
        <w:ind w:firstLine="540"/>
        <w:jc w:val="both"/>
      </w:pPr>
      <w:r>
        <w:rPr>
          <w:sz w:val="24"/>
        </w:rPr>
        <w:t xml:space="preserve">а) </w:t>
      </w:r>
      <w:hyperlink w:history="0" w:anchor="P336" w:tooltip="Отчет">
        <w:r>
          <w:rPr>
            <w:sz w:val="24"/>
            <w:color w:val="0000ff"/>
          </w:rPr>
          <w:t xml:space="preserve">отчет</w:t>
        </w:r>
      </w:hyperlink>
      <w:r>
        <w:rPr>
          <w:sz w:val="24"/>
        </w:rPr>
        <w:t xml:space="preserve"> о количестве поездок, совершенных гражданами отдельных категорий по ЕСПБ и талонам-заявкам по регулярным маршрутам, на которых используется электронная система платежей, по форме согласно приложению к настоящему Порядку;</w:t>
      </w:r>
    </w:p>
    <w:p>
      <w:pPr>
        <w:pStyle w:val="0"/>
        <w:spacing w:before="240" w:lineRule="auto"/>
        <w:ind w:firstLine="540"/>
        <w:jc w:val="both"/>
      </w:pPr>
      <w:r>
        <w:rPr>
          <w:sz w:val="24"/>
        </w:rPr>
        <w:t xml:space="preserve">б) полученные от граждан отдельных категорий за отчетный период талоны-заявки;</w:t>
      </w:r>
    </w:p>
    <w:p>
      <w:pPr>
        <w:pStyle w:val="0"/>
        <w:spacing w:before="240" w:lineRule="auto"/>
        <w:ind w:firstLine="540"/>
        <w:jc w:val="both"/>
      </w:pPr>
      <w:r>
        <w:rPr>
          <w:sz w:val="24"/>
        </w:rPr>
        <w:t xml:space="preserve">3) копия документа, удостоверяющего личность представителя получателя, и доверенность, подтверждающая полномочия представителя получателя, выданная в соответствии с законодательством, или нотариально заверенная копия такой доверенности, или документ, подтверждающий право представителя получателя действовать без доверенности (в случае представления документов представителем получателя).</w:t>
      </w:r>
    </w:p>
    <w:p>
      <w:pPr>
        <w:pStyle w:val="0"/>
        <w:spacing w:before="240" w:lineRule="auto"/>
        <w:ind w:firstLine="540"/>
        <w:jc w:val="both"/>
      </w:pPr>
      <w:r>
        <w:rPr>
          <w:sz w:val="24"/>
        </w:rPr>
        <w:t xml:space="preserve">Документы, предусмотренные настоящим пунктом, могут быть представлены получателем в ГКУ-УСЗН лично либо направлены посредством почтового отправления.</w:t>
      </w:r>
    </w:p>
    <w:p>
      <w:pPr>
        <w:pStyle w:val="0"/>
        <w:spacing w:before="240" w:lineRule="auto"/>
        <w:ind w:firstLine="540"/>
        <w:jc w:val="both"/>
      </w:pPr>
      <w:r>
        <w:rPr>
          <w:sz w:val="24"/>
        </w:rPr>
        <w:t xml:space="preserve">Должностное лицо ГКУ-УСЗН регистрирует документы, предусмотренные настоящим пунктом, в журнале регистрации входящих документов в день их представления (получения) в порядке очередности.</w:t>
      </w:r>
    </w:p>
    <w:bookmarkStart w:id="220" w:name="P220"/>
    <w:bookmarkEnd w:id="220"/>
    <w:p>
      <w:pPr>
        <w:pStyle w:val="0"/>
        <w:spacing w:before="240" w:lineRule="auto"/>
        <w:ind w:firstLine="540"/>
        <w:jc w:val="both"/>
      </w:pPr>
      <w:r>
        <w:rPr>
          <w:sz w:val="24"/>
        </w:rPr>
        <w:t xml:space="preserve">В случае если получатель в установленный в </w:t>
      </w:r>
      <w:hyperlink w:history="0" w:anchor="P212" w:tooltip="50. В целях получения субсидии получатель ежемесячно, в срок до 20 числа месяца, следующего за отчетным, представляет в ГКУ-УСЗН следующие документы:">
        <w:r>
          <w:rPr>
            <w:sz w:val="24"/>
            <w:color w:val="0000ff"/>
          </w:rPr>
          <w:t xml:space="preserve">абзаце первом</w:t>
        </w:r>
      </w:hyperlink>
      <w:r>
        <w:rPr>
          <w:sz w:val="24"/>
        </w:rPr>
        <w:t xml:space="preserve"> настоящего пункта срок не обратился за предоставлением субсидии за отчетный месяц, то получатель вправе обратиться в ГКУ-УСЗН за получением субсидии за отчетный месяц в сроки, установленные для получения субсидии за следующий отчетный месяц.</w:t>
      </w:r>
    </w:p>
    <w:p>
      <w:pPr>
        <w:pStyle w:val="0"/>
        <w:spacing w:before="240" w:lineRule="auto"/>
        <w:ind w:firstLine="540"/>
        <w:jc w:val="both"/>
      </w:pPr>
      <w:r>
        <w:rPr>
          <w:sz w:val="24"/>
        </w:rPr>
        <w:t xml:space="preserve">51. ГКУ-УСЗН в течение 10 рабочих дней со дня регистрации документов, предусмотренных </w:t>
      </w:r>
      <w:hyperlink w:history="0" w:anchor="P212" w:tooltip="50. В целях получения субсидии получатель ежемесячно, в срок до 20 числа месяца, следующего за отчетным, представляет в ГКУ-УСЗН следующие документы:">
        <w:r>
          <w:rPr>
            <w:sz w:val="24"/>
            <w:color w:val="0000ff"/>
          </w:rPr>
          <w:t xml:space="preserve">пунктом 50</w:t>
        </w:r>
      </w:hyperlink>
      <w:r>
        <w:rPr>
          <w:sz w:val="24"/>
        </w:rPr>
        <w:t xml:space="preserve"> настоящего Порядка, рассматривает представленные документы и принимает одно из следующих решений по формам, утвержденным министерством:</w:t>
      </w:r>
    </w:p>
    <w:p>
      <w:pPr>
        <w:pStyle w:val="0"/>
        <w:spacing w:before="240" w:lineRule="auto"/>
        <w:ind w:firstLine="540"/>
        <w:jc w:val="both"/>
      </w:pPr>
      <w:r>
        <w:rPr>
          <w:sz w:val="24"/>
        </w:rPr>
        <w:t xml:space="preserve">1) о предоставлении субсидии;</w:t>
      </w:r>
    </w:p>
    <w:p>
      <w:pPr>
        <w:pStyle w:val="0"/>
        <w:spacing w:before="240" w:lineRule="auto"/>
        <w:ind w:firstLine="540"/>
        <w:jc w:val="both"/>
      </w:pPr>
      <w:r>
        <w:rPr>
          <w:sz w:val="24"/>
        </w:rPr>
        <w:t xml:space="preserve">2) об отказе в предоставлении субсидии.</w:t>
      </w:r>
    </w:p>
    <w:p>
      <w:pPr>
        <w:pStyle w:val="0"/>
        <w:spacing w:before="240" w:lineRule="auto"/>
        <w:ind w:firstLine="540"/>
        <w:jc w:val="both"/>
      </w:pPr>
      <w:r>
        <w:rPr>
          <w:sz w:val="24"/>
        </w:rPr>
        <w:t xml:space="preserve">52. Основаниями для принятия решения об отказе в предоставлении субсидии являются:</w:t>
      </w:r>
    </w:p>
    <w:p>
      <w:pPr>
        <w:pStyle w:val="0"/>
        <w:spacing w:before="240" w:lineRule="auto"/>
        <w:ind w:firstLine="540"/>
        <w:jc w:val="both"/>
      </w:pPr>
      <w:r>
        <w:rPr>
          <w:sz w:val="24"/>
        </w:rPr>
        <w:t xml:space="preserve">1) несоответствие представленных получателем (его представителем) документов требованиям, определенным </w:t>
      </w:r>
      <w:hyperlink w:history="0" w:anchor="P212" w:tooltip="50. В целях получения субсидии получатель ежемесячно, в срок до 20 числа месяца, следующего за отчетным, представляет в ГКУ-УСЗН следующие документы:">
        <w:r>
          <w:rPr>
            <w:sz w:val="24"/>
            <w:color w:val="0000ff"/>
          </w:rPr>
          <w:t xml:space="preserve">пунктом 50</w:t>
        </w:r>
      </w:hyperlink>
      <w:r>
        <w:rPr>
          <w:sz w:val="24"/>
        </w:rPr>
        <w:t xml:space="preserve"> настоящего Порядка, или непредставление (представление не в полном объеме) указанных документов;</w:t>
      </w:r>
    </w:p>
    <w:p>
      <w:pPr>
        <w:pStyle w:val="0"/>
        <w:spacing w:before="240" w:lineRule="auto"/>
        <w:ind w:firstLine="540"/>
        <w:jc w:val="both"/>
      </w:pPr>
      <w:r>
        <w:rPr>
          <w:sz w:val="24"/>
        </w:rPr>
        <w:t xml:space="preserve">2) установление факта недостоверности представленной получателем информации;</w:t>
      </w:r>
    </w:p>
    <w:p>
      <w:pPr>
        <w:pStyle w:val="0"/>
        <w:spacing w:before="240" w:lineRule="auto"/>
        <w:ind w:firstLine="540"/>
        <w:jc w:val="both"/>
      </w:pPr>
      <w:r>
        <w:rPr>
          <w:sz w:val="24"/>
        </w:rPr>
        <w:t xml:space="preserve">3) нарушение срока представления документов, установленного </w:t>
      </w:r>
      <w:hyperlink w:history="0" w:anchor="P212" w:tooltip="50. В целях получения субсидии получатель ежемесячно, в срок до 20 числа месяца, следующего за отчетным, представляет в ГКУ-УСЗН следующие документы:">
        <w:r>
          <w:rPr>
            <w:sz w:val="24"/>
            <w:color w:val="0000ff"/>
          </w:rPr>
          <w:t xml:space="preserve">абзацем первым пункта 50</w:t>
        </w:r>
      </w:hyperlink>
      <w:r>
        <w:rPr>
          <w:sz w:val="24"/>
        </w:rPr>
        <w:t xml:space="preserve"> настоящего Порядка (за исключением случаев, предусмотренных </w:t>
      </w:r>
      <w:hyperlink w:history="0" w:anchor="P220" w:tooltip="В случае если получатель в установленный в абзаце первом настоящего пункта срок не обратился за предоставлением субсидии за отчетный месяц, то получатель вправе обратиться в ГКУ-УСЗН за получением субсидии за отчетный месяц в сроки, установленные для получения субсидии за следующий отчетный месяц.">
        <w:r>
          <w:rPr>
            <w:sz w:val="24"/>
            <w:color w:val="0000ff"/>
          </w:rPr>
          <w:t xml:space="preserve">абзацем девятым пункта 50</w:t>
        </w:r>
      </w:hyperlink>
      <w:r>
        <w:rPr>
          <w:sz w:val="24"/>
        </w:rPr>
        <w:t xml:space="preserve">, </w:t>
      </w:r>
      <w:hyperlink w:history="0" w:anchor="P230" w:tooltip="Получатель, в отношении которого принято решение об отказе в предоставлении субсидии, после устранения причин, послуживших основанием для принятия решения об отказе в предоставлении субсидии, вправе повторно обратиться в ГКУ-УСЗН за получением субсидии за отчетный месяц в сроки, установленные для получения субсидии за следующий отчетный месяц.">
        <w:r>
          <w:rPr>
            <w:sz w:val="24"/>
            <w:color w:val="0000ff"/>
          </w:rPr>
          <w:t xml:space="preserve">абзацем третьим пункта 53</w:t>
        </w:r>
      </w:hyperlink>
      <w:r>
        <w:rPr>
          <w:sz w:val="24"/>
        </w:rPr>
        <w:t xml:space="preserve"> настоящего Порядка).</w:t>
      </w:r>
    </w:p>
    <w:p>
      <w:pPr>
        <w:pStyle w:val="0"/>
        <w:spacing w:before="240" w:lineRule="auto"/>
        <w:ind w:firstLine="540"/>
        <w:jc w:val="both"/>
      </w:pPr>
      <w:r>
        <w:rPr>
          <w:sz w:val="24"/>
        </w:rPr>
        <w:t xml:space="preserve">53. ГКУ-УСЗН в течение 3 рабочих дней со дня принятия решения о предоставлении субсидии (об отказе в предоставлении субсидии) направляет (способом, позволяющим подтвердить факт направления) получателю, в отношении которого принято соответствующее решение, письменное уведомление о принятом решении.</w:t>
      </w:r>
    </w:p>
    <w:p>
      <w:pPr>
        <w:pStyle w:val="0"/>
        <w:spacing w:before="240" w:lineRule="auto"/>
        <w:ind w:firstLine="540"/>
        <w:jc w:val="both"/>
      </w:pPr>
      <w:r>
        <w:rPr>
          <w:sz w:val="24"/>
        </w:rPr>
        <w:t xml:space="preserve">В случае принятия решения об отказе в предоставлении субсидии в уведомлении указываются причины принятия такого решения.</w:t>
      </w:r>
    </w:p>
    <w:bookmarkStart w:id="230" w:name="P230"/>
    <w:bookmarkEnd w:id="230"/>
    <w:p>
      <w:pPr>
        <w:pStyle w:val="0"/>
        <w:spacing w:before="240" w:lineRule="auto"/>
        <w:ind w:firstLine="540"/>
        <w:jc w:val="both"/>
      </w:pPr>
      <w:r>
        <w:rPr>
          <w:sz w:val="24"/>
        </w:rPr>
        <w:t xml:space="preserve">Получатель, в отношении которого принято решение об отказе в предоставлении субсидии, после устранения причин, послуживших основанием для принятия решения об отказе в предоставлении субсидии, вправе повторно обратиться в ГКУ-УСЗН за получением субсидии за отчетный месяц в сроки, установленные для получения субсидии за следующий отчетный месяц.</w:t>
      </w:r>
    </w:p>
    <w:p>
      <w:pPr>
        <w:pStyle w:val="0"/>
        <w:spacing w:before="240" w:lineRule="auto"/>
        <w:ind w:firstLine="540"/>
        <w:jc w:val="both"/>
      </w:pPr>
      <w:r>
        <w:rPr>
          <w:sz w:val="24"/>
        </w:rPr>
        <w:t xml:space="preserve">54. ГКУ-УСЗН не позднее 10-го рабочего дня, следующего за днем принятия решения о предоставлении субсидии, осуществляет перечисление субсидии на расчетный или корреспондентский счет, открытый получателем в учреждениях Центрального банка Российской Федерации или кредитных организациях.</w:t>
      </w:r>
    </w:p>
    <w:p>
      <w:pPr>
        <w:pStyle w:val="0"/>
        <w:spacing w:before="240" w:lineRule="auto"/>
        <w:ind w:firstLine="540"/>
        <w:jc w:val="both"/>
      </w:pPr>
      <w:r>
        <w:rPr>
          <w:sz w:val="24"/>
        </w:rPr>
        <w:t xml:space="preserve">55. Размер субсидии на возмещение расходов за проезд граждан отдельных категорий по ЕСПБ по муниципальным маршрутам регулярных перевозок по регулируемым тарифам в границах городского округа, населенного пункта муниципального округа либо поселения муниципального района Амурской области, на которых не используется электронная система платежей (Рс), определяется по формуле:</w:t>
      </w:r>
    </w:p>
    <w:p>
      <w:pPr>
        <w:pStyle w:val="0"/>
        <w:jc w:val="both"/>
      </w:pPr>
      <w:r>
        <w:rPr>
          <w:sz w:val="24"/>
        </w:rPr>
      </w:r>
    </w:p>
    <w:p>
      <w:pPr>
        <w:pStyle w:val="0"/>
        <w:jc w:val="center"/>
      </w:pPr>
      <w:r>
        <w:rPr>
          <w:sz w:val="24"/>
        </w:rPr>
        <w:t xml:space="preserve">Рс = Ci + Sn, где:</w:t>
      </w:r>
    </w:p>
    <w:p>
      <w:pPr>
        <w:pStyle w:val="0"/>
        <w:jc w:val="both"/>
      </w:pPr>
      <w:r>
        <w:rPr>
          <w:sz w:val="24"/>
        </w:rPr>
      </w:r>
    </w:p>
    <w:p>
      <w:pPr>
        <w:pStyle w:val="0"/>
        <w:ind w:firstLine="540"/>
        <w:jc w:val="both"/>
      </w:pPr>
      <w:r>
        <w:rPr>
          <w:sz w:val="24"/>
        </w:rPr>
        <w:t xml:space="preserve">Ci - объем средств, полученных от реализации ЕСПБ, подлежащий перечислению получателю;</w:t>
      </w:r>
    </w:p>
    <w:p>
      <w:pPr>
        <w:pStyle w:val="0"/>
        <w:spacing w:before="240" w:lineRule="auto"/>
        <w:ind w:firstLine="540"/>
        <w:jc w:val="both"/>
      </w:pPr>
      <w:r>
        <w:rPr>
          <w:sz w:val="24"/>
        </w:rPr>
        <w:t xml:space="preserve">Sп - объем средств, превышающих стоимость ЕСПБ, подлежащий перечислению получателю.</w:t>
      </w:r>
    </w:p>
    <w:p>
      <w:pPr>
        <w:pStyle w:val="0"/>
        <w:spacing w:before="240" w:lineRule="auto"/>
        <w:ind w:firstLine="540"/>
        <w:jc w:val="both"/>
      </w:pPr>
      <w:r>
        <w:rPr>
          <w:sz w:val="24"/>
        </w:rPr>
        <w:t xml:space="preserve">56. Объем средств, полученных от реализации ЕСПБ, подлежащий перечислению получателю (Ci), определяется по формуле:</w:t>
      </w:r>
    </w:p>
    <w:p>
      <w:pPr>
        <w:pStyle w:val="0"/>
        <w:jc w:val="both"/>
      </w:pPr>
      <w:r>
        <w:rPr>
          <w:sz w:val="24"/>
        </w:rPr>
      </w:r>
    </w:p>
    <w:p>
      <w:pPr>
        <w:pStyle w:val="0"/>
        <w:jc w:val="center"/>
      </w:pPr>
      <w:r>
        <w:rPr>
          <w:sz w:val="24"/>
        </w:rPr>
        <w:t xml:space="preserve">Ci = Ц</w:t>
      </w:r>
      <w:r>
        <w:rPr>
          <w:sz w:val="24"/>
          <w:vertAlign w:val="subscript"/>
        </w:rPr>
        <w:t xml:space="preserve">ЕСПБ</w:t>
      </w:r>
      <w:r>
        <w:rPr>
          <w:sz w:val="24"/>
        </w:rPr>
        <w:t xml:space="preserve"> x Д, где:</w:t>
      </w:r>
    </w:p>
    <w:p>
      <w:pPr>
        <w:pStyle w:val="0"/>
        <w:jc w:val="both"/>
      </w:pPr>
      <w:r>
        <w:rPr>
          <w:sz w:val="24"/>
        </w:rPr>
      </w:r>
    </w:p>
    <w:p>
      <w:pPr>
        <w:pStyle w:val="0"/>
        <w:ind w:firstLine="540"/>
        <w:jc w:val="both"/>
      </w:pPr>
      <w:r>
        <w:rPr>
          <w:sz w:val="24"/>
        </w:rPr>
        <w:t xml:space="preserve">Ц</w:t>
      </w:r>
      <w:r>
        <w:rPr>
          <w:sz w:val="24"/>
          <w:vertAlign w:val="subscript"/>
        </w:rPr>
        <w:t xml:space="preserve">ЕСПБ</w:t>
      </w:r>
      <w:r>
        <w:rPr>
          <w:sz w:val="24"/>
        </w:rPr>
        <w:t xml:space="preserve"> - стоимость одного ЕСПБ;</w:t>
      </w:r>
    </w:p>
    <w:p>
      <w:pPr>
        <w:pStyle w:val="0"/>
        <w:spacing w:before="240" w:lineRule="auto"/>
        <w:ind w:firstLine="540"/>
        <w:jc w:val="both"/>
      </w:pPr>
      <w:r>
        <w:rPr>
          <w:sz w:val="24"/>
        </w:rPr>
        <w:t xml:space="preserve">Д - количество ЕСПБ, проданных гражданам отдельных категорий обособленными структурными подразделениями УФПС Амурской области.</w:t>
      </w:r>
    </w:p>
    <w:p>
      <w:pPr>
        <w:pStyle w:val="0"/>
        <w:spacing w:before="240" w:lineRule="auto"/>
        <w:ind w:firstLine="540"/>
        <w:jc w:val="both"/>
      </w:pPr>
      <w:r>
        <w:rPr>
          <w:sz w:val="24"/>
        </w:rPr>
        <w:t xml:space="preserve">57. Объем средств, превышающих стоимость ЕСПБ, подлежащий перечислению получателю (Sn), определяется по формуле:</w:t>
      </w:r>
    </w:p>
    <w:p>
      <w:pPr>
        <w:pStyle w:val="0"/>
        <w:jc w:val="both"/>
      </w:pPr>
      <w:r>
        <w:rPr>
          <w:sz w:val="24"/>
        </w:rPr>
      </w:r>
    </w:p>
    <w:p>
      <w:pPr>
        <w:pStyle w:val="0"/>
        <w:jc w:val="center"/>
      </w:pPr>
      <w:r>
        <w:rPr>
          <w:sz w:val="24"/>
        </w:rPr>
        <w:t xml:space="preserve">Sn = 30 x Цб x Д - Ci, где:</w:t>
      </w:r>
    </w:p>
    <w:p>
      <w:pPr>
        <w:pStyle w:val="0"/>
        <w:jc w:val="both"/>
      </w:pPr>
      <w:r>
        <w:rPr>
          <w:sz w:val="24"/>
        </w:rPr>
      </w:r>
    </w:p>
    <w:p>
      <w:pPr>
        <w:pStyle w:val="0"/>
        <w:ind w:firstLine="540"/>
        <w:jc w:val="both"/>
      </w:pPr>
      <w:r>
        <w:rPr>
          <w:sz w:val="24"/>
        </w:rPr>
        <w:t xml:space="preserve">30 - количество поездок, совершаемых одним гражданином, принятых к расчету;</w:t>
      </w:r>
    </w:p>
    <w:p>
      <w:pPr>
        <w:pStyle w:val="0"/>
        <w:spacing w:before="240" w:lineRule="auto"/>
        <w:ind w:firstLine="540"/>
        <w:jc w:val="both"/>
      </w:pPr>
      <w:r>
        <w:rPr>
          <w:sz w:val="24"/>
        </w:rPr>
        <w:t xml:space="preserve">Цб - стоимость одной поездки;</w:t>
      </w:r>
    </w:p>
    <w:p>
      <w:pPr>
        <w:pStyle w:val="0"/>
        <w:spacing w:before="240" w:lineRule="auto"/>
        <w:ind w:firstLine="540"/>
        <w:jc w:val="both"/>
      </w:pPr>
      <w:r>
        <w:rPr>
          <w:sz w:val="24"/>
        </w:rPr>
        <w:t xml:space="preserve">Д - количество ЕСПБ, проданных гражданам отдельных категорий обособленными структурными подразделениями УФПС Амурской области;</w:t>
      </w:r>
    </w:p>
    <w:p>
      <w:pPr>
        <w:pStyle w:val="0"/>
        <w:spacing w:before="240" w:lineRule="auto"/>
        <w:ind w:firstLine="540"/>
        <w:jc w:val="both"/>
      </w:pPr>
      <w:r>
        <w:rPr>
          <w:sz w:val="24"/>
        </w:rPr>
        <w:t xml:space="preserve">Ci - объем средств, полученных от реализации ЕСПБ, подлежащий перечислению получателю.</w:t>
      </w:r>
    </w:p>
    <w:bookmarkStart w:id="252" w:name="P252"/>
    <w:bookmarkEnd w:id="252"/>
    <w:p>
      <w:pPr>
        <w:pStyle w:val="0"/>
        <w:spacing w:before="240" w:lineRule="auto"/>
        <w:ind w:firstLine="540"/>
        <w:jc w:val="both"/>
      </w:pPr>
      <w:r>
        <w:rPr>
          <w:sz w:val="24"/>
        </w:rPr>
        <w:t xml:space="preserve">58. При наличии на территории муниципального образования Амурской области муниципальных маршрутов регулярных перевозок по регулируемым тарифам в границах городского округа, населенного пункта муниципального округа либо поселения муниципального района Амурской области размер субсидии на возмещение расходов за проезд граждан отдельных категорий по ЕСПБ по муниципальным маршрутам регулярных перевозок по регулируемым тарифам в границах муниципального округа, двух и более поселений одного муниципального района Амурской области, по межмуниципальным маршрутам регулярных перевозок по регулируемым тарифам в границах муниципального района (муниципального округа) и городского округа Амурской области, на территории которого расположен административный центр данного муниципального района (муниципального округа) Амурской области, а в случае отсутствия указанных муниципальных и межмуниципальных маршрутов - по иным межмуниципальным маршрутам регулярных перевозок по регулируемым тарифам на расстояние до 50 км включительно от начального (конечного) остановочного пункта, на которых не используется электронная система платежей (Рс</w:t>
      </w:r>
      <w:r>
        <w:rPr>
          <w:sz w:val="24"/>
          <w:vertAlign w:val="subscript"/>
        </w:rPr>
        <w:t xml:space="preserve">1</w:t>
      </w:r>
      <w:r>
        <w:rPr>
          <w:sz w:val="24"/>
        </w:rPr>
        <w:t xml:space="preserve">), определяется по формуле:</w:t>
      </w:r>
    </w:p>
    <w:p>
      <w:pPr>
        <w:pStyle w:val="0"/>
        <w:jc w:val="both"/>
      </w:pPr>
      <w:r>
        <w:rPr>
          <w:sz w:val="24"/>
        </w:rPr>
      </w:r>
    </w:p>
    <w:p>
      <w:pPr>
        <w:pStyle w:val="0"/>
        <w:jc w:val="center"/>
      </w:pPr>
      <w:r>
        <w:rPr>
          <w:sz w:val="24"/>
        </w:rPr>
        <w:t xml:space="preserve">Рс</w:t>
      </w:r>
      <w:r>
        <w:rPr>
          <w:sz w:val="24"/>
          <w:vertAlign w:val="subscript"/>
        </w:rPr>
        <w:t xml:space="preserve">1</w:t>
      </w:r>
      <w:r>
        <w:rPr>
          <w:sz w:val="24"/>
        </w:rPr>
        <w:t xml:space="preserve"> = Сср.мес x Ит x Д, где:</w:t>
      </w:r>
    </w:p>
    <w:p>
      <w:pPr>
        <w:pStyle w:val="0"/>
        <w:jc w:val="both"/>
      </w:pPr>
      <w:r>
        <w:rPr>
          <w:sz w:val="24"/>
        </w:rPr>
      </w:r>
    </w:p>
    <w:p>
      <w:pPr>
        <w:pStyle w:val="0"/>
        <w:ind w:firstLine="540"/>
        <w:jc w:val="both"/>
      </w:pPr>
      <w:r>
        <w:rPr>
          <w:sz w:val="24"/>
        </w:rPr>
        <w:t xml:space="preserve">Сср.мес - фактическая средняя величина расходов за проезд по одному ЕСПБ в соответствующем месяце базового периода, определяемая по формуле:</w:t>
      </w:r>
    </w:p>
    <w:p>
      <w:pPr>
        <w:pStyle w:val="0"/>
        <w:jc w:val="both"/>
      </w:pPr>
      <w:r>
        <w:rPr>
          <w:sz w:val="24"/>
        </w:rPr>
      </w:r>
    </w:p>
    <w:p>
      <w:pPr>
        <w:pStyle w:val="0"/>
        <w:jc w:val="center"/>
      </w:pPr>
      <w:r>
        <w:rPr>
          <w:sz w:val="24"/>
        </w:rPr>
        <w:t xml:space="preserve">Сср.мес = Фопр / А, где:</w:t>
      </w:r>
    </w:p>
    <w:p>
      <w:pPr>
        <w:pStyle w:val="0"/>
        <w:jc w:val="both"/>
      </w:pPr>
      <w:r>
        <w:rPr>
          <w:sz w:val="24"/>
        </w:rPr>
      </w:r>
    </w:p>
    <w:p>
      <w:pPr>
        <w:pStyle w:val="0"/>
        <w:ind w:firstLine="540"/>
        <w:jc w:val="both"/>
      </w:pPr>
      <w:r>
        <w:rPr>
          <w:sz w:val="24"/>
        </w:rPr>
        <w:t xml:space="preserve">Фопр - фактический объем средств областного бюджета, перечисленных ГКУ-УСЗН получателям в соответствующем месяце базового периода за проезд граждан отдельных категорий по ЕСПБ на территории Амурской области по муниципальным маршрутам регулярных перевозок по регулируемым тарифам в границах муниципального округа, двух и более поселений одного муниципального района Амурской области, по межмуниципальным маршрутам регулярных перевозок по регулируемым тарифам в границах муниципального района (муниципального округа) и городского округа Амурской области, на территории которого расположен административный центр данного муниципального района (муниципального округа) Амурской области, а в случае отсутствия указанных муниципальных и межмуниципальных маршрутов - по иным межмуниципальным маршрутам регулярных перевозок по регулируемым тарифам на расстояние до 50 км включительно от начального (конечного) остановочного пункта. В случае отсутствия в ГКУ-УСЗН сведений, подтверждающих фактические расходы за проезд граждан отдельных категорий за отдельные месяцы базового периода, Фопр устанавливается равным среднемесячной величине расходов за проезд граждан отдельных категорий в базовом периоде;</w:t>
      </w:r>
    </w:p>
    <w:p>
      <w:pPr>
        <w:pStyle w:val="0"/>
        <w:spacing w:before="240" w:lineRule="auto"/>
        <w:ind w:firstLine="540"/>
        <w:jc w:val="both"/>
      </w:pPr>
      <w:r>
        <w:rPr>
          <w:sz w:val="24"/>
        </w:rPr>
        <w:t xml:space="preserve">А - количество ЕСПБ, проданных в соответствующем месяце базового периода гражданам отдельных категорий обособленными структурными подразделениями УФПС Амурской области;</w:t>
      </w:r>
    </w:p>
    <w:p>
      <w:pPr>
        <w:pStyle w:val="0"/>
        <w:spacing w:before="240" w:lineRule="auto"/>
        <w:ind w:firstLine="540"/>
        <w:jc w:val="both"/>
      </w:pPr>
      <w:r>
        <w:rPr>
          <w:sz w:val="24"/>
        </w:rPr>
        <w:t xml:space="preserve">Ит - индекс изменения тарифа на проезд, рассчитываемый по формуле:</w:t>
      </w:r>
    </w:p>
    <w:p>
      <w:pPr>
        <w:pStyle w:val="0"/>
        <w:jc w:val="both"/>
      </w:pPr>
      <w:r>
        <w:rPr>
          <w:sz w:val="24"/>
        </w:rPr>
      </w:r>
    </w:p>
    <w:p>
      <w:pPr>
        <w:pStyle w:val="0"/>
        <w:jc w:val="center"/>
      </w:pPr>
      <w:r>
        <w:rPr>
          <w:sz w:val="24"/>
        </w:rPr>
        <w:t xml:space="preserve">Ит = Рт / Ртб, где:</w:t>
      </w:r>
    </w:p>
    <w:p>
      <w:pPr>
        <w:pStyle w:val="0"/>
        <w:jc w:val="both"/>
      </w:pPr>
      <w:r>
        <w:rPr>
          <w:sz w:val="24"/>
        </w:rPr>
      </w:r>
    </w:p>
    <w:p>
      <w:pPr>
        <w:pStyle w:val="0"/>
        <w:ind w:firstLine="540"/>
        <w:jc w:val="both"/>
      </w:pPr>
      <w:r>
        <w:rPr>
          <w:sz w:val="24"/>
        </w:rPr>
        <w:t xml:space="preserve">Рт - средний размер тарифа на проезд в соответствующем месяце текущего года;</w:t>
      </w:r>
    </w:p>
    <w:p>
      <w:pPr>
        <w:pStyle w:val="0"/>
        <w:spacing w:before="240" w:lineRule="auto"/>
        <w:ind w:firstLine="540"/>
        <w:jc w:val="both"/>
      </w:pPr>
      <w:r>
        <w:rPr>
          <w:sz w:val="24"/>
        </w:rPr>
        <w:t xml:space="preserve">Ртб - средний размер тарифа на проезд в соответствующем месяце базового периода;</w:t>
      </w:r>
    </w:p>
    <w:p>
      <w:pPr>
        <w:pStyle w:val="0"/>
        <w:spacing w:before="240" w:lineRule="auto"/>
        <w:ind w:firstLine="540"/>
        <w:jc w:val="both"/>
      </w:pPr>
      <w:r>
        <w:rPr>
          <w:sz w:val="24"/>
        </w:rPr>
        <w:t xml:space="preserve">Д - количество ЕСПБ, проданных гражданам отдельных категорий обособленными структурными подразделениями УФПС Амурской области.</w:t>
      </w:r>
    </w:p>
    <w:bookmarkStart w:id="269" w:name="P269"/>
    <w:bookmarkEnd w:id="269"/>
    <w:p>
      <w:pPr>
        <w:pStyle w:val="0"/>
        <w:spacing w:before="240" w:lineRule="auto"/>
        <w:ind w:firstLine="540"/>
        <w:jc w:val="both"/>
      </w:pPr>
      <w:r>
        <w:rPr>
          <w:sz w:val="24"/>
        </w:rPr>
        <w:t xml:space="preserve">59. При отсутствии на территории муниципального образования Амурской области муниципальных маршрутов регулярных перевозок по регулируемым тарифам в границах городского округа, населенного пункта муниципального округа либо поселения муниципального района Амурской области размер субсидии на возмещение расходов за проезд граждан отдельных категорий по ЕСПБ по муниципальным маршрутам регулярных перевозок по регулируемым тарифам в границах муниципального округа, двух и более поселений одного муниципального района Амурской области, по межмуниципальным маршрутам регулярных перевозок по регулируемым тарифам в границах муниципального района (муниципального округа) и городского округа Амурской области, на территории которого расположен административный центр данного муниципального района (муниципального округа) Амурской области, а в случае отсутствия указанных муниципальных и межмуниципальных маршрутов - по иным межмуниципальным маршрутам регулярных перевозок по регулируемым тарифам на расстояние до 50 км включительно от начального (конечного) остановочного пункта, на которых не используется электронная система платежей (Рс2), определяется по формуле:</w:t>
      </w:r>
    </w:p>
    <w:p>
      <w:pPr>
        <w:pStyle w:val="0"/>
        <w:jc w:val="both"/>
      </w:pPr>
      <w:r>
        <w:rPr>
          <w:sz w:val="24"/>
        </w:rPr>
      </w:r>
    </w:p>
    <w:p>
      <w:pPr>
        <w:pStyle w:val="0"/>
        <w:jc w:val="center"/>
      </w:pPr>
      <w:r>
        <w:rPr>
          <w:sz w:val="24"/>
        </w:rPr>
        <w:t xml:space="preserve">Рс2 = (Сср.мес x Ит x Д) - Ci, где:</w:t>
      </w:r>
    </w:p>
    <w:p>
      <w:pPr>
        <w:pStyle w:val="0"/>
        <w:jc w:val="both"/>
      </w:pPr>
      <w:r>
        <w:rPr>
          <w:sz w:val="24"/>
        </w:rPr>
      </w:r>
    </w:p>
    <w:p>
      <w:pPr>
        <w:pStyle w:val="0"/>
        <w:ind w:firstLine="540"/>
        <w:jc w:val="both"/>
      </w:pPr>
      <w:r>
        <w:rPr>
          <w:sz w:val="24"/>
        </w:rPr>
        <w:t xml:space="preserve">Сср.мес - фактическая средняя величина расходов за проезд по одному ЕСПБ в соответствующем месяце базового периода;</w:t>
      </w:r>
    </w:p>
    <w:p>
      <w:pPr>
        <w:pStyle w:val="0"/>
        <w:spacing w:before="240" w:lineRule="auto"/>
        <w:ind w:firstLine="540"/>
        <w:jc w:val="both"/>
      </w:pPr>
      <w:r>
        <w:rPr>
          <w:sz w:val="24"/>
        </w:rPr>
        <w:t xml:space="preserve">Ит - индекс изменения тарифа на проезд;</w:t>
      </w:r>
    </w:p>
    <w:p>
      <w:pPr>
        <w:pStyle w:val="0"/>
        <w:spacing w:before="240" w:lineRule="auto"/>
        <w:ind w:firstLine="540"/>
        <w:jc w:val="both"/>
      </w:pPr>
      <w:r>
        <w:rPr>
          <w:sz w:val="24"/>
        </w:rPr>
        <w:t xml:space="preserve">Д - количество ЕСПБ, проданных гражданам отдельных категорий обособленными структурными подразделениями УФПС Амурской области;</w:t>
      </w:r>
    </w:p>
    <w:p>
      <w:pPr>
        <w:pStyle w:val="0"/>
        <w:spacing w:before="240" w:lineRule="auto"/>
        <w:ind w:firstLine="540"/>
        <w:jc w:val="both"/>
      </w:pPr>
      <w:r>
        <w:rPr>
          <w:sz w:val="24"/>
        </w:rPr>
        <w:t xml:space="preserve">Ci - объем средств, полученных от реализации ЕСПБ, подлежащий перечислению получателю.</w:t>
      </w:r>
    </w:p>
    <w:bookmarkStart w:id="277" w:name="P277"/>
    <w:bookmarkEnd w:id="277"/>
    <w:p>
      <w:pPr>
        <w:pStyle w:val="0"/>
        <w:spacing w:before="240" w:lineRule="auto"/>
        <w:ind w:firstLine="540"/>
        <w:jc w:val="both"/>
      </w:pPr>
      <w:r>
        <w:rPr>
          <w:sz w:val="24"/>
        </w:rPr>
        <w:t xml:space="preserve">60. Размер субсидии на возмещение расходов за проезд граждан отдельных категорий по ЕСПБ на территории Амурской области по новым маршрутам, на которых не используется электронная система платежей (Рс3), в случае, если получатель осуществляет перевозку граждан отдельных категорий на территории Амурской области по ЕСПБ по муниципальным маршрутам регулярных перевозок по регулируемым тарифам в границах городского округа, населенного пункта муниципального округа либо поселения муниципального района Амурской области, определяется по формуле:</w:t>
      </w:r>
    </w:p>
    <w:p>
      <w:pPr>
        <w:pStyle w:val="0"/>
        <w:jc w:val="both"/>
      </w:pPr>
      <w:r>
        <w:rPr>
          <w:sz w:val="24"/>
        </w:rPr>
      </w:r>
    </w:p>
    <w:p>
      <w:pPr>
        <w:pStyle w:val="0"/>
        <w:jc w:val="center"/>
      </w:pPr>
      <w:r>
        <w:rPr>
          <w:position w:val="-12"/>
        </w:rPr>
        <w:drawing>
          <wp:inline distT="0" distB="0" distL="0" distR="0">
            <wp:extent cx="1817370" cy="30861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9">
                      <a:extLst>
                        <a:ext uri="{28A0092B-C50C-407E-A947-70E740481C1C}">
                          <a14:useLocalDpi xmlns:a14="http://schemas.microsoft.com/office/drawing/2010/main" val="0"/>
                        </a:ext>
                      </a:extLst>
                    </a:blip>
                    <a:srcRect/>
                    <a:stretch>
                      <a:fillRect/>
                    </a:stretch>
                  </pic:blipFill>
                  <pic:spPr bwMode="auto">
                    <a:xfrm>
                      <a:off x="0" y="0"/>
                      <a:ext cx="1817370" cy="308610"/>
                    </a:xfrm>
                    <a:prstGeom prst="rect">
                      <a:avLst/>
                    </a:prstGeom>
                    <a:noFill/>
                    <a:ln>
                      <a:noFill/>
                    </a:ln>
                  </pic:spPr>
                </pic:pic>
              </a:graphicData>
            </a:graphic>
          </wp:inline>
        </w:drawing>
      </w:r>
    </w:p>
    <w:p>
      <w:pPr>
        <w:pStyle w:val="0"/>
        <w:jc w:val="both"/>
      </w:pPr>
      <w:r>
        <w:rPr>
          <w:sz w:val="24"/>
        </w:rPr>
      </w:r>
    </w:p>
    <w:p>
      <w:pPr>
        <w:pStyle w:val="0"/>
        <w:ind w:firstLine="540"/>
        <w:jc w:val="both"/>
      </w:pPr>
      <w:r>
        <w:rPr>
          <w:sz w:val="24"/>
        </w:rPr>
        <w:t xml:space="preserve">Ni - количество поездок, совершенных гражданами отдельных категорий по i-му новому маршруту;</w:t>
      </w:r>
    </w:p>
    <w:p>
      <w:pPr>
        <w:pStyle w:val="0"/>
        <w:spacing w:before="240" w:lineRule="auto"/>
        <w:ind w:firstLine="540"/>
        <w:jc w:val="both"/>
      </w:pPr>
      <w:r>
        <w:rPr>
          <w:sz w:val="24"/>
        </w:rPr>
        <w:t xml:space="preserve">Si - стоимость проездного билета на одну поездку по i-му новому маршруту.</w:t>
      </w:r>
    </w:p>
    <w:bookmarkStart w:id="283" w:name="P283"/>
    <w:bookmarkEnd w:id="283"/>
    <w:p>
      <w:pPr>
        <w:pStyle w:val="0"/>
        <w:spacing w:before="240" w:lineRule="auto"/>
        <w:ind w:firstLine="540"/>
        <w:jc w:val="both"/>
      </w:pPr>
      <w:r>
        <w:rPr>
          <w:sz w:val="24"/>
        </w:rPr>
        <w:t xml:space="preserve">61. Размер субсидии на возмещение расходов за проезд граждан отдельных категорий по ЕСПБ на территории Амурской области по новым маршрутам, на которых не используется электронная система платежей (Рс4), в случае если получатель осуществляет перевозку граждан отдельных категорий на территории Амурской области по ЕСПБ только по новым маршрутам, определяется по формуле:</w:t>
      </w:r>
    </w:p>
    <w:p>
      <w:pPr>
        <w:pStyle w:val="0"/>
        <w:jc w:val="both"/>
      </w:pPr>
      <w:r>
        <w:rPr>
          <w:sz w:val="24"/>
        </w:rPr>
      </w:r>
    </w:p>
    <w:p>
      <w:pPr>
        <w:pStyle w:val="0"/>
        <w:jc w:val="center"/>
      </w:pPr>
      <w:r>
        <w:rPr>
          <w:position w:val="-12"/>
        </w:rPr>
        <w:drawing>
          <wp:inline distT="0" distB="0" distL="0" distR="0">
            <wp:extent cx="2137410" cy="30861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0">
                      <a:extLst>
                        <a:ext uri="{28A0092B-C50C-407E-A947-70E740481C1C}">
                          <a14:useLocalDpi xmlns:a14="http://schemas.microsoft.com/office/drawing/2010/main" val="0"/>
                        </a:ext>
                      </a:extLst>
                    </a:blip>
                    <a:srcRect/>
                    <a:stretch>
                      <a:fillRect/>
                    </a:stretch>
                  </pic:blipFill>
                  <pic:spPr bwMode="auto">
                    <a:xfrm>
                      <a:off x="0" y="0"/>
                      <a:ext cx="2137410" cy="308610"/>
                    </a:xfrm>
                    <a:prstGeom prst="rect">
                      <a:avLst/>
                    </a:prstGeom>
                    <a:noFill/>
                    <a:ln>
                      <a:noFill/>
                    </a:ln>
                  </pic:spPr>
                </pic:pic>
              </a:graphicData>
            </a:graphic>
          </wp:inline>
        </w:drawing>
      </w:r>
    </w:p>
    <w:p>
      <w:pPr>
        <w:pStyle w:val="0"/>
        <w:jc w:val="both"/>
      </w:pPr>
      <w:r>
        <w:rPr>
          <w:sz w:val="24"/>
        </w:rPr>
      </w:r>
    </w:p>
    <w:p>
      <w:pPr>
        <w:pStyle w:val="0"/>
        <w:ind w:firstLine="540"/>
        <w:jc w:val="both"/>
      </w:pPr>
      <w:r>
        <w:rPr>
          <w:sz w:val="24"/>
        </w:rPr>
        <w:t xml:space="preserve">Ni - количество поездок, совершенных гражданами отдельных категорий по i-му новому маршруту;</w:t>
      </w:r>
    </w:p>
    <w:p>
      <w:pPr>
        <w:pStyle w:val="0"/>
        <w:spacing w:before="240" w:lineRule="auto"/>
        <w:ind w:firstLine="540"/>
        <w:jc w:val="both"/>
      </w:pPr>
      <w:r>
        <w:rPr>
          <w:sz w:val="24"/>
        </w:rPr>
        <w:t xml:space="preserve">Si - стоимость проездного билета на одну поездку по i-му новому маршруту;</w:t>
      </w:r>
    </w:p>
    <w:p>
      <w:pPr>
        <w:pStyle w:val="0"/>
        <w:spacing w:before="240" w:lineRule="auto"/>
        <w:ind w:firstLine="540"/>
        <w:jc w:val="both"/>
      </w:pPr>
      <w:r>
        <w:rPr>
          <w:sz w:val="24"/>
        </w:rPr>
        <w:t xml:space="preserve">Ci - объем средств, полученных от реализации ЕСПБ, подлежащий перечислению получателю.</w:t>
      </w:r>
    </w:p>
    <w:p>
      <w:pPr>
        <w:pStyle w:val="0"/>
        <w:spacing w:before="240" w:lineRule="auto"/>
        <w:ind w:firstLine="540"/>
        <w:jc w:val="both"/>
      </w:pPr>
      <w:r>
        <w:rPr>
          <w:sz w:val="24"/>
        </w:rPr>
        <w:t xml:space="preserve">62. Количество поездок, совершенных гражданами отдельных категорий по i-му новому маршруту (Ni), определяется исходя из количества представленных в ГКУ-УСЗН получателем талонов на проезд, предусмотренных </w:t>
      </w:r>
      <w:hyperlink w:history="0" r:id="rId51" w:tooltip="Постановление Правительства Амурской области от 13.02.2008 N 27 (ред. от 15.08.2023) &quot;О проезде граждан отдельных категорий на пассажирском транспорте общего пользования&quot; (вместе с &quot;Порядком обеспечения единым социальным проездным билетом&quot;) {КонсультантПлюс}">
        <w:r>
          <w:rPr>
            <w:sz w:val="24"/>
            <w:color w:val="0000ff"/>
          </w:rPr>
          <w:t xml:space="preserve">Порядком</w:t>
        </w:r>
      </w:hyperlink>
      <w:r>
        <w:rPr>
          <w:sz w:val="24"/>
        </w:rPr>
        <w:t xml:space="preserve"> обеспечения единым социальным проездным билетом, утвержденным постановлением Правительства Амурской области от 13 февраля 2008 г. N 27.</w:t>
      </w:r>
    </w:p>
    <w:p>
      <w:pPr>
        <w:pStyle w:val="0"/>
        <w:spacing w:before="240" w:lineRule="auto"/>
        <w:ind w:firstLine="540"/>
        <w:jc w:val="both"/>
      </w:pPr>
      <w:r>
        <w:rPr>
          <w:sz w:val="24"/>
        </w:rPr>
        <w:t xml:space="preserve">63. Механизм определения размера субсидии, указанный в </w:t>
      </w:r>
      <w:hyperlink w:history="0" w:anchor="P277" w:tooltip="60. Размер субсидии на возмещение расходов за проезд граждан отдельных категорий по ЕСПБ на территории Амурской области по новым маршрутам, на которых не используется электронная система платежей (Рс3), в случае, если получатель осуществляет перевозку граждан отдельных категорий на территории Амурской области по ЕСПБ по муниципальным маршрутам регулярных перевозок по регулируемым тарифам в границах городского округа, населенного пункта муниципального округа либо поселения муниципального района Амурской о...">
        <w:r>
          <w:rPr>
            <w:sz w:val="24"/>
            <w:color w:val="0000ff"/>
          </w:rPr>
          <w:t xml:space="preserve">пунктах 60</w:t>
        </w:r>
      </w:hyperlink>
      <w:r>
        <w:rPr>
          <w:sz w:val="24"/>
        </w:rPr>
        <w:t xml:space="preserve">, </w:t>
      </w:r>
      <w:hyperlink w:history="0" w:anchor="P283" w:tooltip="61. Размер субсидии на возмещение расходов за проезд граждан отдельных категорий по ЕСПБ на территории Амурской области по новым маршрутам, на которых не используется электронная система платежей (Рс4), в случае если получатель осуществляет перевозку граждан отдельных категорий на территории Амурской области по ЕСПБ только по новым маршрутам, определяется по формуле:">
        <w:r>
          <w:rPr>
            <w:sz w:val="24"/>
            <w:color w:val="0000ff"/>
          </w:rPr>
          <w:t xml:space="preserve">61</w:t>
        </w:r>
      </w:hyperlink>
      <w:r>
        <w:rPr>
          <w:sz w:val="24"/>
        </w:rPr>
        <w:t xml:space="preserve"> настоящего Порядка, используется в течение 12 месяцев начиная с месяца открытия нового маршрута.</w:t>
      </w:r>
    </w:p>
    <w:p>
      <w:pPr>
        <w:pStyle w:val="0"/>
        <w:spacing w:before="240" w:lineRule="auto"/>
        <w:ind w:firstLine="540"/>
        <w:jc w:val="both"/>
      </w:pPr>
      <w:r>
        <w:rPr>
          <w:sz w:val="24"/>
        </w:rPr>
        <w:t xml:space="preserve">По истечении 12 месяцев осуществления учета количества и стоимости поездок, совершаемых гражданами отдельных категорий по ЕСПБ по новым маршрутам, определение размеров субсидий, подлежащих перечислению получателям, определяется по формулам, указанным в </w:t>
      </w:r>
      <w:hyperlink w:history="0" w:anchor="P252" w:tooltip="58. При наличии на территории муниципального образования Амурской области муниципальных маршрутов регулярных перевозок по регулируемым тарифам в границах городского округа, населенного пункта муниципального округа либо поселения муниципального района Амурской области размер субсидии на возмещение расходов за проезд граждан отдельных категорий по ЕСПБ по муниципальным маршрутам регулярных перевозок по регулируемым тарифам в границах муниципального округа, двух и более поселений одного муниципального район...">
        <w:r>
          <w:rPr>
            <w:sz w:val="24"/>
            <w:color w:val="0000ff"/>
          </w:rPr>
          <w:t xml:space="preserve">пунктах 58</w:t>
        </w:r>
      </w:hyperlink>
      <w:r>
        <w:rPr>
          <w:sz w:val="24"/>
        </w:rPr>
        <w:t xml:space="preserve">, </w:t>
      </w:r>
      <w:hyperlink w:history="0" w:anchor="P269" w:tooltip="59. При отсутствии на территории муниципального образования Амурской области муниципальных маршрутов регулярных перевозок по регулируемым тарифам в границах городского округа, населенного пункта муниципального округа либо поселения муниципального района Амурской области размер субсидии на возмещение расходов за проезд граждан отдельных категорий по ЕСПБ по муниципальным маршрутам регулярных перевозок по регулируемым тарифам в границах муниципального округа, двух и более поселений одного муниципального ра...">
        <w:r>
          <w:rPr>
            <w:sz w:val="24"/>
            <w:color w:val="0000ff"/>
          </w:rPr>
          <w:t xml:space="preserve">59</w:t>
        </w:r>
      </w:hyperlink>
      <w:r>
        <w:rPr>
          <w:sz w:val="24"/>
        </w:rPr>
        <w:t xml:space="preserve"> настоящего Порядка.</w:t>
      </w:r>
    </w:p>
    <w:p>
      <w:pPr>
        <w:pStyle w:val="0"/>
        <w:spacing w:before="240" w:lineRule="auto"/>
        <w:ind w:firstLine="540"/>
        <w:jc w:val="both"/>
      </w:pPr>
      <w:r>
        <w:rPr>
          <w:sz w:val="24"/>
        </w:rPr>
        <w:t xml:space="preserve">64. Размер субсидии на возмещение расходов за проезд граждан отдельных категорий по ЕСПБ на территории Амурской области по регулярным маршрутам, на которых используется электронная система платежей (Рс5), определяется по формуле:</w:t>
      </w:r>
    </w:p>
    <w:p>
      <w:pPr>
        <w:pStyle w:val="0"/>
        <w:jc w:val="both"/>
      </w:pPr>
      <w:r>
        <w:rPr>
          <w:sz w:val="24"/>
        </w:rPr>
      </w:r>
    </w:p>
    <w:p>
      <w:pPr>
        <w:pStyle w:val="0"/>
        <w:jc w:val="center"/>
      </w:pPr>
      <w:r>
        <w:rPr>
          <w:sz w:val="24"/>
        </w:rPr>
        <w:t xml:space="preserve">Рс5 = К1п x Цб + К2п x Рт, где:</w:t>
      </w:r>
    </w:p>
    <w:p>
      <w:pPr>
        <w:pStyle w:val="0"/>
        <w:jc w:val="both"/>
      </w:pPr>
      <w:r>
        <w:rPr>
          <w:sz w:val="24"/>
        </w:rPr>
      </w:r>
    </w:p>
    <w:p>
      <w:pPr>
        <w:pStyle w:val="0"/>
        <w:ind w:firstLine="540"/>
        <w:jc w:val="both"/>
      </w:pPr>
      <w:r>
        <w:rPr>
          <w:sz w:val="24"/>
        </w:rPr>
        <w:t xml:space="preserve">К1п - количество поездок по ЕСПБ и талонам-заявкам в границах одного городского округа, населенного пункта муниципального округа либо поселения муниципального района Амурской области на транспорте i-го получателя;</w:t>
      </w:r>
    </w:p>
    <w:p>
      <w:pPr>
        <w:pStyle w:val="0"/>
        <w:spacing w:before="240" w:lineRule="auto"/>
        <w:ind w:firstLine="540"/>
        <w:jc w:val="both"/>
      </w:pPr>
      <w:r>
        <w:rPr>
          <w:sz w:val="24"/>
        </w:rPr>
        <w:t xml:space="preserve">Цб - цена поездки в границах одного городского округа, населенного пункта муниципального округа либо поселения муниципального района Амурской области;</w:t>
      </w:r>
    </w:p>
    <w:p>
      <w:pPr>
        <w:pStyle w:val="0"/>
        <w:spacing w:before="240" w:lineRule="auto"/>
        <w:ind w:firstLine="540"/>
        <w:jc w:val="both"/>
      </w:pPr>
      <w:r>
        <w:rPr>
          <w:sz w:val="24"/>
        </w:rPr>
        <w:t xml:space="preserve">К2п - количество поездок с использованием ЕСПБ и талонов-заявок в границах муниципального округа, двух и более поселений одного муниципального района, в границах муниципального района (муниципального округа) и городского округа Амурской области, на территории которого расположен административный центр данного муниципального района (муниципального округа) Амурской области;</w:t>
      </w:r>
    </w:p>
    <w:p>
      <w:pPr>
        <w:pStyle w:val="0"/>
        <w:spacing w:before="240" w:lineRule="auto"/>
        <w:ind w:firstLine="540"/>
        <w:jc w:val="both"/>
      </w:pPr>
      <w:r>
        <w:rPr>
          <w:sz w:val="24"/>
        </w:rPr>
        <w:t xml:space="preserve">Рт - средний размер тарифа на проезд в границах муниципального округа Амурской области, двух и более поселений одного муниципального района Амурской области, в границах муниципального района (муниципального округа) и городского округа Амурской области, на территории которого расположен административный центр данного муниципального района (муниципального округа) Амурской области, в соответствующем месяце текущего года.</w:t>
      </w:r>
    </w:p>
    <w:bookmarkStart w:id="301" w:name="P301"/>
    <w:bookmarkEnd w:id="301"/>
    <w:p>
      <w:pPr>
        <w:pStyle w:val="0"/>
        <w:spacing w:before="240" w:lineRule="auto"/>
        <w:ind w:firstLine="540"/>
        <w:jc w:val="both"/>
      </w:pPr>
      <w:r>
        <w:rPr>
          <w:sz w:val="24"/>
        </w:rPr>
        <w:t xml:space="preserve">65. В случае наличия бюджетных ассигнований и лимитов бюджетных обязательств в размере, недостаточном для предоставления субсидии в полном объеме, субсидия предоставляется в пределах остатка бюджетных ассигнований и лимитов бюджетных обязательств, предусмотренных министерству на предоставление субсидии на текущий финансовый год, при наличии в заявлении соответствующего согласия получателя.</w:t>
      </w:r>
    </w:p>
    <w:p>
      <w:pPr>
        <w:pStyle w:val="0"/>
        <w:spacing w:before="240" w:lineRule="auto"/>
        <w:ind w:firstLine="540"/>
        <w:jc w:val="both"/>
      </w:pPr>
      <w:r>
        <w:rPr>
          <w:sz w:val="24"/>
        </w:rPr>
        <w:t xml:space="preserve">В случае утверждения дополнительных бюджетных ассигнований и лимитов бюджетных обязательств на предоставление субсидии на текущий финансовый год ГКУ-УСЗН в течение 10 рабочих дней со дня доведения министерству бюджетных ассигнований и лимитов бюджетных обязательств на предоставление субсидии принимает решение о заключении с получателями, которым была предоставлена субсидия в соответствии с </w:t>
      </w:r>
      <w:hyperlink w:history="0" w:anchor="P301" w:tooltip="65. В случае наличия бюджетных ассигнований и лимитов бюджетных обязательств в размере, недостаточном для предоставления субсидии в полном объеме, субсидия предоставляется в пределах остатка бюджетных ассигнований и лимитов бюджетных обязательств, предусмотренных министерству на предоставление субсидии на текущий финансовый год, при наличии в заявлении соответствующего согласия получателя.">
        <w:r>
          <w:rPr>
            <w:sz w:val="24"/>
            <w:color w:val="0000ff"/>
          </w:rPr>
          <w:t xml:space="preserve">абзацем первым</w:t>
        </w:r>
      </w:hyperlink>
      <w:r>
        <w:rPr>
          <w:sz w:val="24"/>
        </w:rPr>
        <w:t xml:space="preserve"> настоящего пункта, дополнительного соглашения к Соглашению в части изменения размера субсидии в порядке очередности в зависимости от ранжирования поступивших заявлений.</w:t>
      </w:r>
    </w:p>
    <w:bookmarkStart w:id="303" w:name="P303"/>
    <w:bookmarkEnd w:id="303"/>
    <w:p>
      <w:pPr>
        <w:pStyle w:val="0"/>
        <w:spacing w:before="240" w:lineRule="auto"/>
        <w:ind w:firstLine="540"/>
        <w:jc w:val="both"/>
      </w:pPr>
      <w:r>
        <w:rPr>
          <w:sz w:val="24"/>
        </w:rPr>
        <w:t xml:space="preserve">В случае невозможности предоставления остатка субсидии в текущем финансовом году получателю, которому была предоставлена субсидия в соответствии с </w:t>
      </w:r>
      <w:hyperlink w:history="0" w:anchor="P301" w:tooltip="65. В случае наличия бюджетных ассигнований и лимитов бюджетных обязательств в размере, недостаточном для предоставления субсидии в полном объеме, субсидия предоставляется в пределах остатка бюджетных ассигнований и лимитов бюджетных обязательств, предусмотренных министерству на предоставление субсидии на текущий финансовый год, при наличии в заявлении соответствующего согласия получателя.">
        <w:r>
          <w:rPr>
            <w:sz w:val="24"/>
            <w:color w:val="0000ff"/>
          </w:rPr>
          <w:t xml:space="preserve">абзацем первым</w:t>
        </w:r>
      </w:hyperlink>
      <w:r>
        <w:rPr>
          <w:sz w:val="24"/>
        </w:rPr>
        <w:t xml:space="preserve"> настоящего пункта, остаток субсидии предоставляется получателю в очередном финансовом году без повторного прохождения отбора.</w:t>
      </w:r>
    </w:p>
    <w:bookmarkStart w:id="304" w:name="P304"/>
    <w:bookmarkEnd w:id="304"/>
    <w:p>
      <w:pPr>
        <w:pStyle w:val="0"/>
        <w:spacing w:before="240" w:lineRule="auto"/>
        <w:ind w:firstLine="540"/>
        <w:jc w:val="both"/>
      </w:pPr>
      <w:r>
        <w:rPr>
          <w:sz w:val="24"/>
        </w:rPr>
        <w:t xml:space="preserve">В случае невозможности предоставления получателю субсидии в текущем финансовом году в связи с отсутствием бюджетных ассигнований и лимитов бюджетных обязательств, предусмотренных министерству на предоставление субсидии, или с несогласием (отсутствием в заявлении согласия) получателя на предоставление субсидии в пределах остатка бюджетных ассигнований и лимитов бюджетных обязательств, предусмотренных министерству на предоставление субсидии на текущий финансовый год, субсидия предоставляется получателю в очередном финансовом году без повторного прохождения отбора, о чем ГКУ-УСЗН в течение 3 рабочих дней со дня подписания протокола подведения итогов отбора направляет получателю соответствующее уведомление способом, позволяющим подтвердить факт направления.</w:t>
      </w:r>
    </w:p>
    <w:p>
      <w:pPr>
        <w:pStyle w:val="0"/>
        <w:spacing w:before="240" w:lineRule="auto"/>
        <w:ind w:firstLine="540"/>
        <w:jc w:val="both"/>
      </w:pPr>
      <w:r>
        <w:rPr>
          <w:sz w:val="24"/>
        </w:rPr>
        <w:t xml:space="preserve">В случаях, предусмотренных </w:t>
      </w:r>
      <w:hyperlink w:history="0" w:anchor="P303" w:tooltip="В случае невозможности предоставления остатка субсидии в текущем финансовом году получателю, которому была предоставлена субсидия в соответствии с абзацем первым настоящего пункта, остаток субсидии предоставляется получателю в очередном финансовом году без повторного прохождения отбора.">
        <w:r>
          <w:rPr>
            <w:sz w:val="24"/>
            <w:color w:val="0000ff"/>
          </w:rPr>
          <w:t xml:space="preserve">абзацами третьим</w:t>
        </w:r>
      </w:hyperlink>
      <w:r>
        <w:rPr>
          <w:sz w:val="24"/>
        </w:rPr>
        <w:t xml:space="preserve"> и </w:t>
      </w:r>
      <w:hyperlink w:history="0" w:anchor="P304" w:tooltip="В случае невозможности предоставления получателю субсидии в текущем финансовом году в связи с отсутствием бюджетных ассигнований и лимитов бюджетных обязательств, предусмотренных министерству на предоставление субсидии, или с несогласием (отсутствием в заявлении согласия) получателя на предоставление субсидии в пределах остатка бюджетных ассигнований и лимитов бюджетных обязательств, предусмотренных министерству на предоставление субсидии на текущий финансовый год, субсидия предоставляется получателю в о...">
        <w:r>
          <w:rPr>
            <w:sz w:val="24"/>
            <w:color w:val="0000ff"/>
          </w:rPr>
          <w:t xml:space="preserve">четвертым</w:t>
        </w:r>
      </w:hyperlink>
      <w:r>
        <w:rPr>
          <w:sz w:val="24"/>
        </w:rPr>
        <w:t xml:space="preserve"> настоящего пункта, заключение Соглашения (дополнительного соглашения к Соглашению в части изменения размера субсидии) осуществляется в соответствии с </w:t>
      </w:r>
      <w:hyperlink w:history="0" w:anchor="P203" w:tooltip="43. Предоставление субсидии осуществляется на основании Соглашения, заключенного между ГКУ-УСЗН и получателем.">
        <w:r>
          <w:rPr>
            <w:sz w:val="24"/>
            <w:color w:val="0000ff"/>
          </w:rPr>
          <w:t xml:space="preserve">пунктами 43</w:t>
        </w:r>
      </w:hyperlink>
      <w:r>
        <w:rPr>
          <w:sz w:val="24"/>
        </w:rPr>
        <w:t xml:space="preserve">, </w:t>
      </w:r>
      <w:hyperlink w:history="0" w:anchor="P206" w:tooltip="45. Получатель в течение 3 рабочих дней со дня формирования проекта Соглашения подписывает его в электронной форме в централизованной информационно-технической системе &quot;АЦК-Планирование&quot; электронной подписью.">
        <w:r>
          <w:rPr>
            <w:sz w:val="24"/>
            <w:color w:val="0000ff"/>
          </w:rPr>
          <w:t xml:space="preserve">45</w:t>
        </w:r>
      </w:hyperlink>
      <w:r>
        <w:rPr>
          <w:sz w:val="24"/>
        </w:rPr>
        <w:t xml:space="preserve">, </w:t>
      </w:r>
      <w:hyperlink w:history="0" w:anchor="P208" w:tooltip="46. Руководитель ГКУ-УСЗН в течение 2 рабочих дней со дня подписания проекта Соглашения получателем подписывает его в электронной форме в централизованной информационно-технической системе &quot;АЦК-Планирование&quot; электронной подписью, после чего Соглашение считается заключенным.">
        <w:r>
          <w:rPr>
            <w:sz w:val="24"/>
            <w:color w:val="0000ff"/>
          </w:rPr>
          <w:t xml:space="preserve">46</w:t>
        </w:r>
      </w:hyperlink>
      <w:r>
        <w:rPr>
          <w:sz w:val="24"/>
        </w:rPr>
        <w:t xml:space="preserve"> настоящего Порядка, в течение 10 рабочих дней со дня доведения министерству бюджетных ассигнований и лимитов бюджетных обязательств на предоставление субсидии на очередной финансовый год в порядке очередности в зависимости от ранжирования поступивших заявлений.</w:t>
      </w:r>
    </w:p>
    <w:p>
      <w:pPr>
        <w:pStyle w:val="0"/>
        <w:spacing w:before="240" w:lineRule="auto"/>
        <w:ind w:firstLine="540"/>
        <w:jc w:val="both"/>
      </w:pPr>
      <w:r>
        <w:rPr>
          <w:sz w:val="24"/>
        </w:rPr>
        <w:t xml:space="preserve">66. Результатом предоставления субсидии является количество граждан отдельных категорий, обеспеченных проездом по регулярным маршрутам с использованием ими ЕСПБ (единиц).</w:t>
      </w:r>
    </w:p>
    <w:p>
      <w:pPr>
        <w:pStyle w:val="0"/>
        <w:spacing w:before="240" w:lineRule="auto"/>
        <w:ind w:firstLine="540"/>
        <w:jc w:val="both"/>
      </w:pPr>
      <w:r>
        <w:rPr>
          <w:sz w:val="24"/>
        </w:rPr>
        <w:t xml:space="preserve">Типом результата предоставления субсидии является оказание услуг (выполнение работ).</w:t>
      </w:r>
    </w:p>
    <w:p>
      <w:pPr>
        <w:pStyle w:val="0"/>
        <w:spacing w:before="240" w:lineRule="auto"/>
        <w:ind w:firstLine="540"/>
        <w:jc w:val="both"/>
      </w:pPr>
      <w:r>
        <w:rPr>
          <w:sz w:val="24"/>
        </w:rPr>
        <w:t xml:space="preserve">Конечное значение результата предоставления субсидии и точная дата его завершения устанавливаются ГКУ-УСЗН в Соглашении.</w:t>
      </w:r>
    </w:p>
    <w:bookmarkStart w:id="309" w:name="P309"/>
    <w:bookmarkEnd w:id="309"/>
    <w:p>
      <w:pPr>
        <w:pStyle w:val="0"/>
        <w:spacing w:before="240" w:lineRule="auto"/>
        <w:ind w:firstLine="540"/>
        <w:jc w:val="both"/>
      </w:pPr>
      <w:r>
        <w:rPr>
          <w:sz w:val="24"/>
        </w:rPr>
        <w:t xml:space="preserve">67. Получатель представляет в ГКУ-УСЗН по формам, установленным в Соглашении:</w:t>
      </w:r>
    </w:p>
    <w:p>
      <w:pPr>
        <w:pStyle w:val="0"/>
        <w:spacing w:before="240" w:lineRule="auto"/>
        <w:ind w:firstLine="540"/>
        <w:jc w:val="both"/>
      </w:pPr>
      <w:r>
        <w:rPr>
          <w:sz w:val="24"/>
        </w:rPr>
        <w:t xml:space="preserve">1) отчет о достижении значения результата предоставления субсидии - ежеквартально, в срок до 25 числа месяца, следующего за отчетным кварталом;</w:t>
      </w:r>
    </w:p>
    <w:p>
      <w:pPr>
        <w:pStyle w:val="0"/>
        <w:spacing w:before="240" w:lineRule="auto"/>
        <w:ind w:firstLine="540"/>
        <w:jc w:val="both"/>
      </w:pPr>
      <w:r>
        <w:rPr>
          <w:sz w:val="24"/>
        </w:rPr>
        <w:t xml:space="preserve">2) отчет о реализации плана мероприятий по достижению результата предоставления субсидии - в сроки, установленные Соглашением.</w:t>
      </w:r>
    </w:p>
    <w:p>
      <w:pPr>
        <w:pStyle w:val="0"/>
        <w:spacing w:before="240" w:lineRule="auto"/>
        <w:ind w:firstLine="540"/>
        <w:jc w:val="both"/>
      </w:pPr>
      <w:r>
        <w:rPr>
          <w:sz w:val="24"/>
        </w:rPr>
        <w:t xml:space="preserve">68. ГКУ-УСЗН в течение 5 рабочих дней со дня получения отчетов, предусмотренных </w:t>
      </w:r>
      <w:hyperlink w:history="0" w:anchor="P309" w:tooltip="67. Получатель представляет в ГКУ-УСЗН по формам, установленным в Соглашении:">
        <w:r>
          <w:rPr>
            <w:sz w:val="24"/>
            <w:color w:val="0000ff"/>
          </w:rPr>
          <w:t xml:space="preserve">пунктом 67</w:t>
        </w:r>
      </w:hyperlink>
      <w:r>
        <w:rPr>
          <w:sz w:val="24"/>
        </w:rPr>
        <w:t xml:space="preserve"> настоящего Порядка (далее - отчеты), от получателя передает их в министерство.</w:t>
      </w:r>
    </w:p>
    <w:bookmarkStart w:id="313" w:name="P313"/>
    <w:bookmarkEnd w:id="313"/>
    <w:p>
      <w:pPr>
        <w:pStyle w:val="0"/>
        <w:spacing w:before="240" w:lineRule="auto"/>
        <w:ind w:firstLine="540"/>
        <w:jc w:val="both"/>
      </w:pPr>
      <w:r>
        <w:rPr>
          <w:sz w:val="24"/>
        </w:rPr>
        <w:t xml:space="preserve">69. Министерство в течение 20 рабочих дней со дня получения отчетов от ГКУ-УСЗН осуществляет их проверку и принятие.</w:t>
      </w:r>
    </w:p>
    <w:p>
      <w:pPr>
        <w:pStyle w:val="0"/>
        <w:spacing w:before="240" w:lineRule="auto"/>
        <w:ind w:firstLine="540"/>
        <w:jc w:val="both"/>
      </w:pPr>
      <w:r>
        <w:rPr>
          <w:sz w:val="24"/>
        </w:rPr>
        <w:t xml:space="preserve">70. В случае наличия у министерства замечаний к отчетам получатель обеспечивает устранение замечаний к отчетам в пределах срока проверки и принятия министерством отчетов, установленного </w:t>
      </w:r>
      <w:hyperlink w:history="0" w:anchor="P313" w:tooltip="69. Министерство в течение 20 рабочих дней со дня получения отчетов от ГКУ-УСЗН осуществляет их проверку и принятие.">
        <w:r>
          <w:rPr>
            <w:sz w:val="24"/>
            <w:color w:val="0000ff"/>
          </w:rPr>
          <w:t xml:space="preserve">пунктом 69</w:t>
        </w:r>
      </w:hyperlink>
      <w:r>
        <w:rPr>
          <w:sz w:val="24"/>
        </w:rPr>
        <w:t xml:space="preserve"> настоящего Порядка.</w:t>
      </w:r>
    </w:p>
    <w:p>
      <w:pPr>
        <w:pStyle w:val="0"/>
        <w:spacing w:before="240" w:lineRule="auto"/>
        <w:ind w:firstLine="540"/>
        <w:jc w:val="both"/>
      </w:pPr>
      <w:r>
        <w:rPr>
          <w:sz w:val="24"/>
        </w:rPr>
        <w:t xml:space="preserve">71. ГКУ-УСЗН ежемесячно, в срок до 10 числа месяца, следующего за отчетным, представляет в министерство информацию о расходовании средств областного бюджета на предоставление субсидии.</w:t>
      </w:r>
    </w:p>
    <w:p>
      <w:pPr>
        <w:pStyle w:val="0"/>
        <w:spacing w:before="240" w:lineRule="auto"/>
        <w:ind w:firstLine="540"/>
        <w:jc w:val="both"/>
      </w:pPr>
      <w:r>
        <w:rPr>
          <w:sz w:val="24"/>
        </w:rPr>
        <w:t xml:space="preserve">72. Министерство осуществляет проверку соблюдения получателем порядка и условий предоставления субсидии, в том числе в части достижения результатов предоставления субсидии, а также орган государственного финансового контроля Амурской области осуществляет проверку в соответствии со </w:t>
      </w:r>
      <w:hyperlink w:history="0" r:id="rId52" w:tooltip="&quot;Бюджетный кодекс Российской Федерации&quot; от 31.07.1998 N 145-ФЗ (ред. от 28.12.2025) {КонсультантПлюс}">
        <w:r>
          <w:rPr>
            <w:sz w:val="24"/>
            <w:color w:val="0000ff"/>
          </w:rPr>
          <w:t xml:space="preserve">статьями 268.1</w:t>
        </w:r>
      </w:hyperlink>
      <w:r>
        <w:rPr>
          <w:sz w:val="24"/>
        </w:rPr>
        <w:t xml:space="preserve"> и </w:t>
      </w:r>
      <w:hyperlink w:history="0" r:id="rId53" w:tooltip="&quot;Бюджетный кодекс Российской Федерации&quot; от 31.07.1998 N 145-ФЗ (ред. от 28.12.2025) {КонсультантПлюс}">
        <w:r>
          <w:rPr>
            <w:sz w:val="24"/>
            <w:color w:val="0000ff"/>
          </w:rPr>
          <w:t xml:space="preserve">269.2</w:t>
        </w:r>
      </w:hyperlink>
      <w:r>
        <w:rPr>
          <w:sz w:val="24"/>
        </w:rPr>
        <w:t xml:space="preserve"> Бюджетного кодекса Российской Федерации.</w:t>
      </w:r>
    </w:p>
    <w:p>
      <w:pPr>
        <w:pStyle w:val="0"/>
        <w:spacing w:before="240" w:lineRule="auto"/>
        <w:ind w:firstLine="540"/>
        <w:jc w:val="both"/>
      </w:pPr>
      <w:r>
        <w:rPr>
          <w:sz w:val="24"/>
        </w:rPr>
        <w:t xml:space="preserve">73. Министерство проводит мониторинг достижения значения результата предоставления субсидии, установленного в Соглашении, и событий, отражающих факт завершения соответствующего мероприятия по получению результата предоставления субсидии (контрольная точка), в порядке и по формам, установленным Министерством финансов Российской Федерации.</w:t>
      </w:r>
    </w:p>
    <w:p>
      <w:pPr>
        <w:pStyle w:val="0"/>
        <w:spacing w:before="240" w:lineRule="auto"/>
        <w:ind w:firstLine="540"/>
        <w:jc w:val="both"/>
      </w:pPr>
      <w:r>
        <w:rPr>
          <w:sz w:val="24"/>
        </w:rPr>
        <w:t xml:space="preserve">74. В случае нарушения получателем порядка и условий предоставления субсидии, выявленного по фактам проверок, проведенных министерством и органом государственного финансового контроля Амурской области, а также в случае недостижения получателем значения результата предоставления субсидии, установленного в Соглашении, получатель обязан осуществить возврат субсидии в областной бюджет в полном объеме.</w:t>
      </w:r>
    </w:p>
    <w:p>
      <w:pPr>
        <w:pStyle w:val="0"/>
        <w:spacing w:before="240" w:lineRule="auto"/>
        <w:ind w:firstLine="540"/>
        <w:jc w:val="both"/>
      </w:pPr>
      <w:r>
        <w:rPr>
          <w:sz w:val="24"/>
        </w:rPr>
        <w:t xml:space="preserve">75. Требование о возврате субсидии в областной бюджет направляется получателю министерством в течение 15 рабочих дней со дня выявления нарушения порядка и условий предоставления субсидии и (или) недостижения значения результата предоставления субсидии, установленного в Соглашении.</w:t>
      </w:r>
    </w:p>
    <w:p>
      <w:pPr>
        <w:pStyle w:val="0"/>
        <w:spacing w:before="240" w:lineRule="auto"/>
        <w:ind w:firstLine="540"/>
        <w:jc w:val="both"/>
      </w:pPr>
      <w:r>
        <w:rPr>
          <w:sz w:val="24"/>
        </w:rPr>
        <w:t xml:space="preserve">76. Возврат субсидии производится получателем в течение 30 календарных дней со дня получения требования министерства о возврате субсидии по реквизитам и коду классификации доходов бюджетов Российской Федерации, указанным в требовании.</w:t>
      </w:r>
    </w:p>
    <w:p>
      <w:pPr>
        <w:pStyle w:val="0"/>
        <w:spacing w:before="240" w:lineRule="auto"/>
        <w:ind w:firstLine="540"/>
        <w:jc w:val="both"/>
      </w:pPr>
      <w:r>
        <w:rPr>
          <w:sz w:val="24"/>
        </w:rPr>
        <w:t xml:space="preserve">В случае невозврата субсидии добровольно ее взыскание осуществляется министерством в судебном порядке.</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w:t>
      </w:r>
    </w:p>
    <w:p>
      <w:pPr>
        <w:pStyle w:val="0"/>
        <w:jc w:val="right"/>
      </w:pPr>
      <w:r>
        <w:rPr>
          <w:sz w:val="24"/>
        </w:rPr>
        <w:t xml:space="preserve">к Порядку</w:t>
      </w:r>
    </w:p>
    <w:p>
      <w:pPr>
        <w:pStyle w:val="0"/>
        <w:jc w:val="right"/>
      </w:pPr>
      <w:r>
        <w:rPr>
          <w:sz w:val="24"/>
        </w:rPr>
        <w:t xml:space="preserve">предоставления</w:t>
      </w:r>
    </w:p>
    <w:p>
      <w:pPr>
        <w:pStyle w:val="0"/>
        <w:jc w:val="right"/>
      </w:pPr>
      <w:r>
        <w:rPr>
          <w:sz w:val="24"/>
        </w:rPr>
        <w:t xml:space="preserve">пассажирским транспортным</w:t>
      </w:r>
    </w:p>
    <w:p>
      <w:pPr>
        <w:pStyle w:val="0"/>
        <w:jc w:val="right"/>
      </w:pPr>
      <w:r>
        <w:rPr>
          <w:sz w:val="24"/>
        </w:rPr>
        <w:t xml:space="preserve">предприятиям субсидий</w:t>
      </w:r>
    </w:p>
    <w:p>
      <w:pPr>
        <w:pStyle w:val="0"/>
        <w:jc w:val="right"/>
      </w:pPr>
      <w:r>
        <w:rPr>
          <w:sz w:val="24"/>
        </w:rPr>
        <w:t xml:space="preserve">на возмещение расходов</w:t>
      </w:r>
    </w:p>
    <w:p>
      <w:pPr>
        <w:pStyle w:val="0"/>
        <w:jc w:val="right"/>
      </w:pPr>
      <w:r>
        <w:rPr>
          <w:sz w:val="24"/>
        </w:rPr>
        <w:t xml:space="preserve">за проезд по единым</w:t>
      </w:r>
    </w:p>
    <w:p>
      <w:pPr>
        <w:pStyle w:val="0"/>
        <w:jc w:val="right"/>
      </w:pPr>
      <w:r>
        <w:rPr>
          <w:sz w:val="24"/>
        </w:rPr>
        <w:t xml:space="preserve">социальным проездным билетам</w:t>
      </w:r>
    </w:p>
    <w:p>
      <w:pPr>
        <w:pStyle w:val="0"/>
        <w:jc w:val="both"/>
      </w:pPr>
      <w:r>
        <w:rPr>
          <w:sz w:val="24"/>
        </w:rPr>
      </w:r>
    </w:p>
    <w:tbl>
      <w:tblPr>
        <w:tblInd w:w="0" w:type="dxa"/>
        <w:tblLayout w:type="fixed"/>
        <w:tblBorders>
          <w:bottom w:val="single" w:sz="4"/>
        </w:tblBorders>
        <w:tblCellMar>
          <w:top w:w="102" w:type="dxa"/>
          <w:left w:w="62" w:type="dxa"/>
          <w:bottom w:w="102" w:type="dxa"/>
          <w:right w:w="62" w:type="dxa"/>
        </w:tblCellMar>
      </w:tblPr>
      <w:tblGrid>
        <w:gridCol w:w="9071"/>
      </w:tblGrid>
      <w:tr>
        <w:tc>
          <w:tcPr>
            <w:tcW w:w="9071" w:type="dxa"/>
            <w:tcBorders>
              <w:top w:val="nil"/>
              <w:left w:val="nil"/>
              <w:bottom w:val="nil"/>
              <w:right w:val="nil"/>
            </w:tcBorders>
          </w:tcPr>
          <w:bookmarkStart w:id="336" w:name="P336"/>
          <w:bookmarkEnd w:id="336"/>
          <w:p>
            <w:pPr>
              <w:pStyle w:val="0"/>
              <w:jc w:val="center"/>
            </w:pPr>
            <w:r>
              <w:rPr>
                <w:sz w:val="24"/>
              </w:rPr>
              <w:t xml:space="preserve">Отчет</w:t>
            </w:r>
          </w:p>
          <w:p>
            <w:pPr>
              <w:pStyle w:val="0"/>
              <w:jc w:val="center"/>
            </w:pPr>
            <w:r>
              <w:rPr>
                <w:sz w:val="24"/>
              </w:rPr>
              <w:t xml:space="preserve">о количестве поездок, совершенных гражданами отдельных</w:t>
            </w:r>
          </w:p>
          <w:p>
            <w:pPr>
              <w:pStyle w:val="0"/>
              <w:jc w:val="center"/>
            </w:pPr>
            <w:r>
              <w:rPr>
                <w:sz w:val="24"/>
              </w:rPr>
              <w:t xml:space="preserve">категорий по единым социальным проездным билетам</w:t>
            </w:r>
          </w:p>
          <w:p>
            <w:pPr>
              <w:pStyle w:val="0"/>
              <w:jc w:val="center"/>
            </w:pPr>
            <w:r>
              <w:rPr>
                <w:sz w:val="24"/>
              </w:rPr>
              <w:t xml:space="preserve">и талонам-заявкам по регулярным маршрутам, на которых</w:t>
            </w:r>
          </w:p>
          <w:p>
            <w:pPr>
              <w:pStyle w:val="0"/>
              <w:jc w:val="center"/>
            </w:pPr>
            <w:r>
              <w:rPr>
                <w:sz w:val="24"/>
              </w:rPr>
              <w:t xml:space="preserve">используется электронная система платежей</w:t>
            </w:r>
          </w:p>
        </w:tc>
      </w:tr>
      <w:tr>
        <w:tc>
          <w:tcPr>
            <w:tcW w:w="9071" w:type="dxa"/>
            <w:tcBorders>
              <w:top w:val="nil"/>
              <w:left w:val="nil"/>
              <w:bottom w:val="single" w:sz="4"/>
              <w:right w:val="nil"/>
            </w:tcBorders>
          </w:tcPr>
          <w:p>
            <w:pPr>
              <w:pStyle w:val="0"/>
            </w:pPr>
            <w:r>
              <w:rPr>
                <w:sz w:val="24"/>
              </w:rPr>
            </w:r>
          </w:p>
        </w:tc>
      </w:tr>
      <w:tr>
        <w:tc>
          <w:tcPr>
            <w:tcW w:w="9071" w:type="dxa"/>
            <w:tcBorders>
              <w:top w:val="single" w:sz="4"/>
              <w:left w:val="nil"/>
              <w:bottom w:val="nil"/>
              <w:right w:val="nil"/>
            </w:tcBorders>
          </w:tcPr>
          <w:p>
            <w:pPr>
              <w:pStyle w:val="0"/>
              <w:jc w:val="center"/>
            </w:pPr>
            <w:r>
              <w:rPr>
                <w:sz w:val="24"/>
              </w:rPr>
              <w:t xml:space="preserve">(наименование городского округа или муниципального района (муниципального округа) Амурской области)</w:t>
            </w:r>
          </w:p>
        </w:tc>
      </w:tr>
      <w:tr>
        <w:tc>
          <w:tcPr>
            <w:tcW w:w="9071" w:type="dxa"/>
            <w:tcBorders>
              <w:top w:val="nil"/>
              <w:left w:val="nil"/>
              <w:bottom w:val="nil"/>
              <w:right w:val="nil"/>
            </w:tcBorders>
          </w:tcPr>
          <w:p>
            <w:pPr>
              <w:pStyle w:val="0"/>
              <w:jc w:val="center"/>
            </w:pPr>
            <w:r>
              <w:rPr>
                <w:sz w:val="24"/>
              </w:rPr>
              <w:t xml:space="preserve">Наименование пассажирского транспортного предприятия</w:t>
            </w:r>
          </w:p>
        </w:tc>
      </w:tr>
      <w:tr>
        <w:tc>
          <w:tcPr>
            <w:tcW w:w="9071" w:type="dxa"/>
            <w:tcBorders>
              <w:top w:val="nil"/>
              <w:left w:val="nil"/>
              <w:bottom w:val="single" w:sz="4"/>
              <w:right w:val="nil"/>
            </w:tcBorders>
          </w:tcPr>
          <w:p>
            <w:pPr>
              <w:pStyle w:val="0"/>
            </w:pPr>
            <w:r>
              <w:rPr>
                <w:sz w:val="24"/>
              </w:rPr>
            </w: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4422"/>
        <w:gridCol w:w="1356"/>
        <w:gridCol w:w="954"/>
        <w:gridCol w:w="1356"/>
        <w:gridCol w:w="972"/>
      </w:tblGrid>
      <w:tr>
        <w:tc>
          <w:tcPr>
            <w:tcW w:w="4422" w:type="dxa"/>
            <w:vMerge w:val="restart"/>
          </w:tcPr>
          <w:p>
            <w:pPr>
              <w:pStyle w:val="0"/>
              <w:jc w:val="center"/>
            </w:pPr>
            <w:r>
              <w:rPr>
                <w:sz w:val="24"/>
              </w:rPr>
              <w:t xml:space="preserve">Маршрут регулируемых перевозок по регулируемым тарифам</w:t>
            </w:r>
          </w:p>
        </w:tc>
        <w:tc>
          <w:tcPr>
            <w:gridSpan w:val="4"/>
            <w:tcW w:w="4638" w:type="dxa"/>
          </w:tcPr>
          <w:p>
            <w:pPr>
              <w:pStyle w:val="0"/>
              <w:jc w:val="center"/>
            </w:pPr>
            <w:r>
              <w:rPr>
                <w:sz w:val="24"/>
              </w:rPr>
              <w:t xml:space="preserve">Количество поездок, совершенных гражданами отдельных категорий по единым социальным проездным билетам и талонам-заявкам</w:t>
            </w:r>
          </w:p>
        </w:tc>
      </w:tr>
      <w:tr>
        <w:tc>
          <w:tcPr>
            <w:vMerge w:val="continue"/>
          </w:tcPr>
          <w:p/>
        </w:tc>
        <w:tc>
          <w:tcPr>
            <w:gridSpan w:val="2"/>
            <w:tcW w:w="2310" w:type="dxa"/>
          </w:tcPr>
          <w:p>
            <w:pPr>
              <w:pStyle w:val="0"/>
              <w:jc w:val="center"/>
            </w:pPr>
            <w:r>
              <w:rPr>
                <w:sz w:val="24"/>
              </w:rPr>
              <w:t xml:space="preserve">за месяц _____ 20__ года</w:t>
            </w:r>
          </w:p>
        </w:tc>
        <w:tc>
          <w:tcPr>
            <w:gridSpan w:val="2"/>
            <w:tcW w:w="2328" w:type="dxa"/>
          </w:tcPr>
          <w:p>
            <w:pPr>
              <w:pStyle w:val="0"/>
              <w:jc w:val="center"/>
            </w:pPr>
            <w:r>
              <w:rPr>
                <w:sz w:val="24"/>
              </w:rPr>
              <w:t xml:space="preserve">с начала 20__ года</w:t>
            </w:r>
          </w:p>
        </w:tc>
      </w:tr>
      <w:tr>
        <w:tc>
          <w:tcPr>
            <w:vMerge w:val="continue"/>
          </w:tcPr>
          <w:p/>
        </w:tc>
        <w:tc>
          <w:tcPr>
            <w:tcW w:w="1356" w:type="dxa"/>
          </w:tcPr>
          <w:p>
            <w:pPr>
              <w:pStyle w:val="0"/>
              <w:jc w:val="center"/>
            </w:pPr>
            <w:r>
              <w:rPr>
                <w:sz w:val="24"/>
              </w:rPr>
              <w:t xml:space="preserve">количество поездок</w:t>
            </w:r>
          </w:p>
        </w:tc>
        <w:tc>
          <w:tcPr>
            <w:tcW w:w="954" w:type="dxa"/>
          </w:tcPr>
          <w:p>
            <w:pPr>
              <w:pStyle w:val="0"/>
              <w:jc w:val="center"/>
            </w:pPr>
            <w:r>
              <w:rPr>
                <w:sz w:val="24"/>
              </w:rPr>
              <w:t xml:space="preserve">сумма, руб.</w:t>
            </w:r>
          </w:p>
        </w:tc>
        <w:tc>
          <w:tcPr>
            <w:tcW w:w="1356" w:type="dxa"/>
          </w:tcPr>
          <w:p>
            <w:pPr>
              <w:pStyle w:val="0"/>
              <w:jc w:val="center"/>
            </w:pPr>
            <w:r>
              <w:rPr>
                <w:sz w:val="24"/>
              </w:rPr>
              <w:t xml:space="preserve">количество поездок</w:t>
            </w:r>
          </w:p>
        </w:tc>
        <w:tc>
          <w:tcPr>
            <w:tcW w:w="972" w:type="dxa"/>
          </w:tcPr>
          <w:p>
            <w:pPr>
              <w:pStyle w:val="0"/>
              <w:jc w:val="center"/>
            </w:pPr>
            <w:r>
              <w:rPr>
                <w:sz w:val="24"/>
              </w:rPr>
              <w:t xml:space="preserve">сумма, руб.</w:t>
            </w:r>
          </w:p>
        </w:tc>
      </w:tr>
      <w:tr>
        <w:tc>
          <w:tcPr>
            <w:tcW w:w="4422" w:type="dxa"/>
          </w:tcPr>
          <w:p>
            <w:pPr>
              <w:pStyle w:val="0"/>
            </w:pPr>
            <w:r>
              <w:rPr>
                <w:sz w:val="24"/>
              </w:rPr>
              <w:t xml:space="preserve">Муниципальный в границах городского округа, населенного пункта муниципального округа либо поселения муниципального района Амурской области</w:t>
            </w:r>
          </w:p>
        </w:tc>
        <w:tc>
          <w:tcPr>
            <w:tcW w:w="1356" w:type="dxa"/>
          </w:tcPr>
          <w:p>
            <w:pPr>
              <w:pStyle w:val="0"/>
            </w:pPr>
            <w:r>
              <w:rPr>
                <w:sz w:val="24"/>
              </w:rPr>
            </w:r>
          </w:p>
        </w:tc>
        <w:tc>
          <w:tcPr>
            <w:tcW w:w="954" w:type="dxa"/>
          </w:tcPr>
          <w:p>
            <w:pPr>
              <w:pStyle w:val="0"/>
            </w:pPr>
            <w:r>
              <w:rPr>
                <w:sz w:val="24"/>
              </w:rPr>
            </w:r>
          </w:p>
        </w:tc>
        <w:tc>
          <w:tcPr>
            <w:tcW w:w="1356" w:type="dxa"/>
          </w:tcPr>
          <w:p>
            <w:pPr>
              <w:pStyle w:val="0"/>
            </w:pPr>
            <w:r>
              <w:rPr>
                <w:sz w:val="24"/>
              </w:rPr>
            </w:r>
          </w:p>
        </w:tc>
        <w:tc>
          <w:tcPr>
            <w:tcW w:w="972" w:type="dxa"/>
          </w:tcPr>
          <w:p>
            <w:pPr>
              <w:pStyle w:val="0"/>
            </w:pPr>
            <w:r>
              <w:rPr>
                <w:sz w:val="24"/>
              </w:rPr>
            </w:r>
          </w:p>
        </w:tc>
      </w:tr>
      <w:tr>
        <w:tc>
          <w:tcPr>
            <w:tcW w:w="4422" w:type="dxa"/>
          </w:tcPr>
          <w:p>
            <w:pPr>
              <w:pStyle w:val="0"/>
            </w:pPr>
            <w:r>
              <w:rPr>
                <w:sz w:val="24"/>
              </w:rPr>
              <w:t xml:space="preserve">Муниципальный в границах муниципального округа, двух и более поселений муниципального района Амурской области; межмуниципальный в границах муниципального района (муниципального округа) и городского округа Амурской области, на территории которого расположен административный центр данного муниципального района (муниципального округа) Амурской области; межмуниципальный на расстояние до 50 км включительно от начального (конечного) остановочного пункта</w:t>
            </w:r>
          </w:p>
        </w:tc>
        <w:tc>
          <w:tcPr>
            <w:tcW w:w="1356" w:type="dxa"/>
          </w:tcPr>
          <w:p>
            <w:pPr>
              <w:pStyle w:val="0"/>
            </w:pPr>
            <w:r>
              <w:rPr>
                <w:sz w:val="24"/>
              </w:rPr>
            </w:r>
          </w:p>
        </w:tc>
        <w:tc>
          <w:tcPr>
            <w:tcW w:w="954" w:type="dxa"/>
          </w:tcPr>
          <w:p>
            <w:pPr>
              <w:pStyle w:val="0"/>
            </w:pPr>
            <w:r>
              <w:rPr>
                <w:sz w:val="24"/>
              </w:rPr>
            </w:r>
          </w:p>
        </w:tc>
        <w:tc>
          <w:tcPr>
            <w:tcW w:w="1356" w:type="dxa"/>
          </w:tcPr>
          <w:p>
            <w:pPr>
              <w:pStyle w:val="0"/>
            </w:pPr>
            <w:r>
              <w:rPr>
                <w:sz w:val="24"/>
              </w:rPr>
            </w:r>
          </w:p>
        </w:tc>
        <w:tc>
          <w:tcPr>
            <w:tcW w:w="972" w:type="dxa"/>
          </w:tcPr>
          <w:p>
            <w:pPr>
              <w:pStyle w:val="0"/>
            </w:pPr>
            <w:r>
              <w:rPr>
                <w:sz w:val="24"/>
              </w:rPr>
            </w:r>
          </w:p>
        </w:tc>
      </w:tr>
      <w:tr>
        <w:tc>
          <w:tcPr>
            <w:tcW w:w="4422" w:type="dxa"/>
          </w:tcPr>
          <w:p>
            <w:pPr>
              <w:pStyle w:val="0"/>
            </w:pPr>
            <w:r>
              <w:rPr>
                <w:sz w:val="24"/>
              </w:rPr>
              <w:t xml:space="preserve">Всего</w:t>
            </w:r>
          </w:p>
        </w:tc>
        <w:tc>
          <w:tcPr>
            <w:tcW w:w="1356" w:type="dxa"/>
          </w:tcPr>
          <w:p>
            <w:pPr>
              <w:pStyle w:val="0"/>
            </w:pPr>
            <w:r>
              <w:rPr>
                <w:sz w:val="24"/>
              </w:rPr>
            </w:r>
          </w:p>
        </w:tc>
        <w:tc>
          <w:tcPr>
            <w:tcW w:w="954" w:type="dxa"/>
          </w:tcPr>
          <w:p>
            <w:pPr>
              <w:pStyle w:val="0"/>
            </w:pPr>
            <w:r>
              <w:rPr>
                <w:sz w:val="24"/>
              </w:rPr>
            </w:r>
          </w:p>
        </w:tc>
        <w:tc>
          <w:tcPr>
            <w:tcW w:w="1356" w:type="dxa"/>
          </w:tcPr>
          <w:p>
            <w:pPr>
              <w:pStyle w:val="0"/>
            </w:pPr>
            <w:r>
              <w:rPr>
                <w:sz w:val="24"/>
              </w:rPr>
            </w:r>
          </w:p>
        </w:tc>
        <w:tc>
          <w:tcPr>
            <w:tcW w:w="972" w:type="dxa"/>
          </w:tcPr>
          <w:p>
            <w:pPr>
              <w:pStyle w:val="0"/>
            </w:pPr>
            <w:r>
              <w:rPr>
                <w:sz w:val="24"/>
              </w:rPr>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1531"/>
        <w:gridCol w:w="340"/>
        <w:gridCol w:w="2268"/>
        <w:gridCol w:w="397"/>
        <w:gridCol w:w="4535"/>
      </w:tblGrid>
      <w:tr>
        <w:tc>
          <w:tcPr>
            <w:tcW w:w="1531" w:type="dxa"/>
            <w:tcBorders>
              <w:top w:val="nil"/>
              <w:left w:val="nil"/>
              <w:bottom w:val="nil"/>
              <w:right w:val="nil"/>
            </w:tcBorders>
          </w:tcPr>
          <w:p>
            <w:pPr>
              <w:pStyle w:val="0"/>
              <w:jc w:val="both"/>
            </w:pPr>
            <w:r>
              <w:rPr>
                <w:sz w:val="24"/>
              </w:rPr>
              <w:t xml:space="preserve">Получатель</w:t>
            </w:r>
          </w:p>
        </w:tc>
        <w:tc>
          <w:tcPr>
            <w:tcW w:w="340" w:type="dxa"/>
            <w:tcBorders>
              <w:top w:val="nil"/>
              <w:left w:val="nil"/>
              <w:bottom w:val="nil"/>
              <w:right w:val="nil"/>
            </w:tcBorders>
          </w:tcPr>
          <w:p>
            <w:pPr>
              <w:pStyle w:val="0"/>
            </w:pPr>
            <w:r>
              <w:rPr>
                <w:sz w:val="24"/>
              </w:rPr>
            </w:r>
          </w:p>
        </w:tc>
        <w:tc>
          <w:tcPr>
            <w:tcW w:w="2268" w:type="dxa"/>
            <w:tcBorders>
              <w:top w:val="nil"/>
              <w:left w:val="nil"/>
              <w:bottom w:val="single" w:sz="4"/>
              <w:right w:val="nil"/>
            </w:tcBorders>
          </w:tcPr>
          <w:p>
            <w:pPr>
              <w:pStyle w:val="0"/>
            </w:pPr>
            <w:r>
              <w:rPr>
                <w:sz w:val="24"/>
              </w:rPr>
            </w:r>
          </w:p>
        </w:tc>
        <w:tc>
          <w:tcPr>
            <w:tcW w:w="397" w:type="dxa"/>
            <w:tcBorders>
              <w:top w:val="nil"/>
              <w:left w:val="nil"/>
              <w:bottom w:val="nil"/>
              <w:right w:val="nil"/>
            </w:tcBorders>
          </w:tcPr>
          <w:p>
            <w:pPr>
              <w:pStyle w:val="0"/>
            </w:pPr>
            <w:r>
              <w:rPr>
                <w:sz w:val="24"/>
              </w:rPr>
            </w:r>
          </w:p>
        </w:tc>
        <w:tc>
          <w:tcPr>
            <w:tcW w:w="4535" w:type="dxa"/>
            <w:tcBorders>
              <w:top w:val="nil"/>
              <w:left w:val="nil"/>
              <w:bottom w:val="single" w:sz="4"/>
              <w:right w:val="nil"/>
            </w:tcBorders>
          </w:tcPr>
          <w:p>
            <w:pPr>
              <w:pStyle w:val="0"/>
            </w:pPr>
            <w:r>
              <w:rPr>
                <w:sz w:val="24"/>
              </w:rPr>
            </w:r>
          </w:p>
        </w:tc>
      </w:tr>
      <w:tr>
        <w:tc>
          <w:tcPr>
            <w:tcW w:w="1531"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268" w:type="dxa"/>
            <w:tcBorders>
              <w:top w:val="single" w:sz="4"/>
              <w:left w:val="nil"/>
              <w:bottom w:val="nil"/>
              <w:right w:val="nil"/>
            </w:tcBorders>
          </w:tcPr>
          <w:p>
            <w:pPr>
              <w:pStyle w:val="0"/>
              <w:jc w:val="center"/>
            </w:pPr>
            <w:r>
              <w:rPr>
                <w:sz w:val="24"/>
              </w:rPr>
              <w:t xml:space="preserve">(подпись)</w:t>
            </w:r>
          </w:p>
        </w:tc>
        <w:tc>
          <w:tcPr>
            <w:tcW w:w="397" w:type="dxa"/>
            <w:tcBorders>
              <w:top w:val="nil"/>
              <w:left w:val="nil"/>
              <w:bottom w:val="nil"/>
              <w:right w:val="nil"/>
            </w:tcBorders>
          </w:tcPr>
          <w:p>
            <w:pPr>
              <w:pStyle w:val="0"/>
            </w:pPr>
            <w:r>
              <w:rPr>
                <w:sz w:val="24"/>
              </w:rPr>
            </w:r>
          </w:p>
        </w:tc>
        <w:tc>
          <w:tcPr>
            <w:tcW w:w="4535" w:type="dxa"/>
            <w:tcBorders>
              <w:top w:val="single" w:sz="4"/>
              <w:left w:val="nil"/>
              <w:bottom w:val="nil"/>
              <w:right w:val="nil"/>
            </w:tcBorders>
          </w:tcPr>
          <w:p>
            <w:pPr>
              <w:pStyle w:val="0"/>
              <w:jc w:val="center"/>
            </w:pPr>
            <w:r>
              <w:rPr>
                <w:sz w:val="24"/>
              </w:rPr>
              <w:t xml:space="preserve">(Ф.И.О.)</w:t>
            </w:r>
          </w:p>
        </w:tc>
      </w:tr>
      <w:tr>
        <w:tc>
          <w:tcPr>
            <w:tcW w:w="1531" w:type="dxa"/>
            <w:tcBorders>
              <w:top w:val="nil"/>
              <w:left w:val="nil"/>
              <w:bottom w:val="nil"/>
              <w:right w:val="nil"/>
            </w:tcBorders>
          </w:tcPr>
          <w:p>
            <w:pPr>
              <w:pStyle w:val="0"/>
              <w:jc w:val="both"/>
            </w:pPr>
            <w:r>
              <w:rPr>
                <w:sz w:val="24"/>
              </w:rPr>
              <w:t xml:space="preserve">М.П.</w:t>
            </w:r>
          </w:p>
        </w:tc>
        <w:tc>
          <w:tcPr>
            <w:tcW w:w="340" w:type="dxa"/>
            <w:tcBorders>
              <w:top w:val="nil"/>
              <w:left w:val="nil"/>
              <w:bottom w:val="nil"/>
              <w:right w:val="nil"/>
            </w:tcBorders>
          </w:tcPr>
          <w:p>
            <w:pPr>
              <w:pStyle w:val="0"/>
            </w:pPr>
            <w:r>
              <w:rPr>
                <w:sz w:val="24"/>
              </w:rPr>
            </w:r>
          </w:p>
        </w:tc>
        <w:tc>
          <w:tcPr>
            <w:tcW w:w="2268" w:type="dxa"/>
            <w:tcBorders>
              <w:top w:val="nil"/>
              <w:left w:val="nil"/>
              <w:bottom w:val="nil"/>
              <w:right w:val="nil"/>
            </w:tcBorders>
          </w:tcPr>
          <w:p>
            <w:pPr>
              <w:pStyle w:val="0"/>
            </w:pPr>
            <w:r>
              <w:rPr>
                <w:sz w:val="24"/>
              </w:rPr>
            </w:r>
          </w:p>
        </w:tc>
        <w:tc>
          <w:tcPr>
            <w:tcW w:w="397" w:type="dxa"/>
            <w:tcBorders>
              <w:top w:val="nil"/>
              <w:left w:val="nil"/>
              <w:bottom w:val="nil"/>
              <w:right w:val="nil"/>
            </w:tcBorders>
          </w:tcPr>
          <w:p>
            <w:pPr>
              <w:pStyle w:val="0"/>
            </w:pPr>
            <w:r>
              <w:rPr>
                <w:sz w:val="24"/>
              </w:rPr>
            </w:r>
          </w:p>
        </w:tc>
        <w:tc>
          <w:tcPr>
            <w:tcW w:w="4535" w:type="dxa"/>
            <w:tcBorders>
              <w:top w:val="nil"/>
              <w:left w:val="nil"/>
              <w:bottom w:val="nil"/>
              <w:right w:val="nil"/>
            </w:tcBorders>
          </w:tcPr>
          <w:p>
            <w:pPr>
              <w:pStyle w:val="0"/>
            </w:pPr>
            <w:r>
              <w:rPr>
                <w:sz w:val="24"/>
              </w:rPr>
            </w:r>
          </w:p>
        </w:tc>
      </w:tr>
    </w:tbl>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06.02.2012 N 35</w:t>
            <w:br/>
            <w:t>(ред. от 28.12.2024)</w:t>
            <w:br/>
            <w:t>"Об утверждении Порядка предоставле...</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50349&amp;date=02.03.2026&amp;dst=100005&amp;field=134" TargetMode = "External"/><Relationship Id="rId9" Type="http://schemas.openxmlformats.org/officeDocument/2006/relationships/hyperlink" Target="https://login.consultant.ru/link/?req=doc&amp;base=RLAW080&amp;n=50749&amp;date=02.03.2026&amp;dst=100049&amp;field=134" TargetMode = "External"/><Relationship Id="rId10" Type="http://schemas.openxmlformats.org/officeDocument/2006/relationships/hyperlink" Target="https://login.consultant.ru/link/?req=doc&amp;base=RLAW080&amp;n=51784&amp;date=02.03.2026&amp;dst=100005&amp;field=134" TargetMode = "External"/><Relationship Id="rId11" Type="http://schemas.openxmlformats.org/officeDocument/2006/relationships/hyperlink" Target="https://login.consultant.ru/link/?req=doc&amp;base=RLAW080&amp;n=63207&amp;date=02.03.2026&amp;dst=100005&amp;field=134" TargetMode = "External"/><Relationship Id="rId12" Type="http://schemas.openxmlformats.org/officeDocument/2006/relationships/hyperlink" Target="https://login.consultant.ru/link/?req=doc&amp;base=RLAW080&amp;n=61978&amp;date=02.03.2026&amp;dst=100007&amp;field=134" TargetMode = "External"/><Relationship Id="rId13" Type="http://schemas.openxmlformats.org/officeDocument/2006/relationships/hyperlink" Target="https://login.consultant.ru/link/?req=doc&amp;base=RLAW080&amp;n=158227&amp;date=02.03.2026&amp;dst=100166&amp;field=134" TargetMode = "External"/><Relationship Id="rId14" Type="http://schemas.openxmlformats.org/officeDocument/2006/relationships/hyperlink" Target="https://login.consultant.ru/link/?req=doc&amp;base=RLAW080&amp;n=96086&amp;date=02.03.2026&amp;dst=100006&amp;field=134" TargetMode = "External"/><Relationship Id="rId15" Type="http://schemas.openxmlformats.org/officeDocument/2006/relationships/hyperlink" Target="https://login.consultant.ru/link/?req=doc&amp;base=RLAW080&amp;n=101166&amp;date=02.03.2026&amp;dst=100050&amp;field=134" TargetMode = "External"/><Relationship Id="rId16" Type="http://schemas.openxmlformats.org/officeDocument/2006/relationships/hyperlink" Target="https://login.consultant.ru/link/?req=doc&amp;base=RLAW080&amp;n=130512&amp;date=02.03.2026&amp;dst=100005&amp;field=134" TargetMode = "External"/><Relationship Id="rId17" Type="http://schemas.openxmlformats.org/officeDocument/2006/relationships/hyperlink" Target="https://login.consultant.ru/link/?req=doc&amp;base=RLAW080&amp;n=137089&amp;date=02.03.2026&amp;dst=100031&amp;field=134" TargetMode = "External"/><Relationship Id="rId18" Type="http://schemas.openxmlformats.org/officeDocument/2006/relationships/hyperlink" Target="https://login.consultant.ru/link/?req=doc&amp;base=RLAW080&amp;n=141290&amp;date=02.03.2026&amp;dst=100005&amp;field=134" TargetMode = "External"/><Relationship Id="rId19" Type="http://schemas.openxmlformats.org/officeDocument/2006/relationships/hyperlink" Target="https://login.consultant.ru/link/?req=doc&amp;base=RLAW080&amp;n=147770&amp;date=02.03.2026&amp;dst=100037&amp;field=134" TargetMode = "External"/><Relationship Id="rId20" Type="http://schemas.openxmlformats.org/officeDocument/2006/relationships/hyperlink" Target="https://login.consultant.ru/link/?req=doc&amp;base=RLAW080&amp;n=149578&amp;date=02.03.2026&amp;dst=100012&amp;field=134" TargetMode = "External"/><Relationship Id="rId21" Type="http://schemas.openxmlformats.org/officeDocument/2006/relationships/hyperlink" Target="https://login.consultant.ru/link/?req=doc&amp;base=RLAW080&amp;n=167698&amp;date=02.03.2026&amp;dst=100146&amp;field=134" TargetMode = "External"/><Relationship Id="rId22" Type="http://schemas.openxmlformats.org/officeDocument/2006/relationships/hyperlink" Target="https://login.consultant.ru/link/?req=doc&amp;base=RLAW080&amp;n=171164&amp;date=02.03.2026&amp;dst=100020&amp;field=134" TargetMode = "External"/><Relationship Id="rId23" Type="http://schemas.openxmlformats.org/officeDocument/2006/relationships/hyperlink" Target="https://login.consultant.ru/link/?req=doc&amp;base=LAW&amp;n=495710&amp;date=02.03.2026&amp;dst=103399&amp;field=134" TargetMode = "External"/><Relationship Id="rId24" Type="http://schemas.openxmlformats.org/officeDocument/2006/relationships/hyperlink" Target="https://login.consultant.ru/link/?req=doc&amp;base=RLAW080&amp;n=158227&amp;date=02.03.2026&amp;dst=100169&amp;field=134" TargetMode = "External"/><Relationship Id="rId25" Type="http://schemas.openxmlformats.org/officeDocument/2006/relationships/hyperlink" Target="https://login.consultant.ru/link/?req=doc&amp;base=RLAW080&amp;n=158227&amp;date=02.03.2026&amp;dst=100171&amp;field=134" TargetMode = "External"/><Relationship Id="rId26" Type="http://schemas.openxmlformats.org/officeDocument/2006/relationships/hyperlink" Target="https://login.consultant.ru/link/?req=doc&amp;base=RLAW080&amp;n=171164&amp;date=02.03.2026&amp;dst=100022&amp;field=134" TargetMode = "External"/><Relationship Id="rId27" Type="http://schemas.openxmlformats.org/officeDocument/2006/relationships/hyperlink" Target="https://login.consultant.ru/link/?req=doc&amp;base=RLAW080&amp;n=50349&amp;date=02.03.2026&amp;dst=100005&amp;field=134" TargetMode = "External"/><Relationship Id="rId28" Type="http://schemas.openxmlformats.org/officeDocument/2006/relationships/hyperlink" Target="https://login.consultant.ru/link/?req=doc&amp;base=RLAW080&amp;n=45941&amp;date=02.03.2026" TargetMode = "External"/><Relationship Id="rId29" Type="http://schemas.openxmlformats.org/officeDocument/2006/relationships/hyperlink" Target="https://login.consultant.ru/link/?req=doc&amp;base=RLAW080&amp;n=29273&amp;date=02.03.2026" TargetMode = "External"/><Relationship Id="rId30" Type="http://schemas.openxmlformats.org/officeDocument/2006/relationships/hyperlink" Target="https://login.consultant.ru/link/?req=doc&amp;base=RLAW080&amp;n=31539&amp;date=02.03.2026" TargetMode = "External"/><Relationship Id="rId31" Type="http://schemas.openxmlformats.org/officeDocument/2006/relationships/hyperlink" Target="https://login.consultant.ru/link/?req=doc&amp;base=RLAW080&amp;n=37308&amp;date=02.03.2026" TargetMode = "External"/><Relationship Id="rId32" Type="http://schemas.openxmlformats.org/officeDocument/2006/relationships/hyperlink" Target="https://login.consultant.ru/link/?req=doc&amp;base=RLAW080&amp;n=48257&amp;date=02.03.2026" TargetMode = "External"/><Relationship Id="rId33" Type="http://schemas.openxmlformats.org/officeDocument/2006/relationships/hyperlink" Target="https://login.consultant.ru/link/?req=doc&amp;base=RLAW080&amp;n=40494&amp;date=02.03.2026" TargetMode = "External"/><Relationship Id="rId34" Type="http://schemas.openxmlformats.org/officeDocument/2006/relationships/hyperlink" Target="https://login.consultant.ru/link/?req=doc&amp;base=RLAW080&amp;n=40492&amp;date=02.03.2026" TargetMode = "External"/><Relationship Id="rId35" Type="http://schemas.openxmlformats.org/officeDocument/2006/relationships/hyperlink" Target="https://login.consultant.ru/link/?req=doc&amp;base=RLAW080&amp;n=45625&amp;date=02.03.2026" TargetMode = "External"/><Relationship Id="rId36" Type="http://schemas.openxmlformats.org/officeDocument/2006/relationships/hyperlink" Target="https://login.consultant.ru/link/?req=doc&amp;base=RLAW080&amp;n=47971&amp;date=02.03.2026&amp;dst=100105&amp;field=134" TargetMode = "External"/><Relationship Id="rId37" Type="http://schemas.openxmlformats.org/officeDocument/2006/relationships/hyperlink" Target="https://login.consultant.ru/link/?req=doc&amp;base=RLAW080&amp;n=50749&amp;date=02.03.2026&amp;dst=100050&amp;field=134" TargetMode = "External"/><Relationship Id="rId38" Type="http://schemas.openxmlformats.org/officeDocument/2006/relationships/hyperlink" Target="https://login.consultant.ru/link/?req=doc&amp;base=RLAW080&amp;n=171164&amp;date=02.03.2026&amp;dst=100023&amp;field=134" TargetMode = "External"/><Relationship Id="rId39" Type="http://schemas.openxmlformats.org/officeDocument/2006/relationships/hyperlink" Target="https://login.consultant.ru/link/?req=doc&amp;base=RLAW080&amp;n=174854&amp;date=02.03.2026" TargetMode = "External"/><Relationship Id="rId40" Type="http://schemas.openxmlformats.org/officeDocument/2006/relationships/hyperlink" Target="https://login.consultant.ru/link/?req=doc&amp;base=RLAW080&amp;n=49792&amp;date=02.03.2026" TargetMode = "External"/><Relationship Id="rId41" Type="http://schemas.openxmlformats.org/officeDocument/2006/relationships/hyperlink" Target="http://budget.gov.ru" TargetMode = "External"/><Relationship Id="rId42" Type="http://schemas.openxmlformats.org/officeDocument/2006/relationships/hyperlink" Target="https://login.consultant.ru/link/?req=doc&amp;base=RLAW080&amp;n=182734&amp;date=02.03.2026&amp;dst=111601&amp;field=134" TargetMode = "External"/><Relationship Id="rId43" Type="http://schemas.openxmlformats.org/officeDocument/2006/relationships/hyperlink" Target="https://szn.amurobl.ru" TargetMode = "External"/><Relationship Id="rId44" Type="http://schemas.openxmlformats.org/officeDocument/2006/relationships/hyperlink" Target="https://login.consultant.ru/link/?req=doc&amp;base=LAW&amp;n=456504&amp;date=02.03.2026" TargetMode = "External"/><Relationship Id="rId45" Type="http://schemas.openxmlformats.org/officeDocument/2006/relationships/hyperlink" Target="https://login.consultant.ru/link/?req=doc&amp;base=LAW&amp;n=121087&amp;date=02.03.2026&amp;dst=100142&amp;field=134" TargetMode = "External"/><Relationship Id="rId46" Type="http://schemas.openxmlformats.org/officeDocument/2006/relationships/hyperlink" Target="https://login.consultant.ru/link/?req=doc&amp;base=LAW&amp;n=503698&amp;date=02.03.2026" TargetMode = "External"/><Relationship Id="rId47" Type="http://schemas.openxmlformats.org/officeDocument/2006/relationships/hyperlink" Target="https://login.consultant.ru/link/?req=doc&amp;base=RLAW080&amp;n=161883&amp;date=02.03.2026&amp;dst=100012&amp;field=134" TargetMode = "External"/><Relationship Id="rId48" Type="http://schemas.openxmlformats.org/officeDocument/2006/relationships/hyperlink" Target="https://fin.amurobl.ru" TargetMode = "External"/><Relationship Id="rId49" Type="http://schemas.openxmlformats.org/officeDocument/2006/relationships/image" Target="media/image2.wmf"/><Relationship Id="rId50" Type="http://schemas.openxmlformats.org/officeDocument/2006/relationships/image" Target="media/image3.wmf"/><Relationship Id="rId51" Type="http://schemas.openxmlformats.org/officeDocument/2006/relationships/hyperlink" Target="https://login.consultant.ru/link/?req=doc&amp;base=RLAW080&amp;n=154494&amp;date=02.03.2026&amp;dst=100326&amp;field=134" TargetMode = "External"/><Relationship Id="rId52" Type="http://schemas.openxmlformats.org/officeDocument/2006/relationships/hyperlink" Target="https://login.consultant.ru/link/?req=doc&amp;base=LAW&amp;n=495710&amp;date=02.03.2026&amp;dst=3704&amp;field=134" TargetMode = "External"/><Relationship Id="rId53" Type="http://schemas.openxmlformats.org/officeDocument/2006/relationships/hyperlink" Target="https://login.consultant.ru/link/?req=doc&amp;base=LAW&amp;n=495710&amp;date=02.03.2026&amp;dst=3722&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06.02.2012 N 35
(ред. от 28.12.2024)
"Об утверждении Порядка предоставления пассажирским транспортным предприятиям субсидий на возмещение расходов за проезд по единым социальным проездным билетам"</dc:title>
  <dcterms:created xsi:type="dcterms:W3CDTF">2026-03-02T01:15:23Z</dcterms:created>
</cp:coreProperties>
</file>